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方正小标宋简体" w:hAnsi="黑体" w:eastAsia="方正小标宋简体" w:cs="黑体"/>
          <w:bCs/>
          <w:kern w:val="0"/>
          <w:sz w:val="44"/>
          <w:szCs w:val="44"/>
        </w:rPr>
      </w:pPr>
      <w:bookmarkStart w:id="1" w:name="_GoBack"/>
      <w:bookmarkEnd w:id="1"/>
      <w:r>
        <w:rPr>
          <w:rFonts w:hint="eastAsia" w:ascii="方正小标宋简体" w:hAnsi="黑体" w:eastAsia="方正小标宋简体" w:cs="黑体"/>
          <w:bCs/>
          <w:kern w:val="0"/>
          <w:sz w:val="44"/>
          <w:szCs w:val="44"/>
        </w:rPr>
        <w:t>辽宁省高等学校新型智库建设实施方案</w:t>
      </w:r>
    </w:p>
    <w:p>
      <w:pPr>
        <w:widowControl/>
        <w:spacing w:line="560" w:lineRule="exact"/>
        <w:jc w:val="center"/>
        <w:rPr>
          <w:rFonts w:hint="eastAsia" w:ascii="楷体_GB2312" w:hAnsi="楷体" w:eastAsia="楷体_GB2312" w:cs="黑体"/>
          <w:bCs/>
          <w:kern w:val="0"/>
          <w:sz w:val="32"/>
          <w:szCs w:val="32"/>
        </w:rPr>
      </w:pPr>
    </w:p>
    <w:p>
      <w:pPr>
        <w:widowControl/>
        <w:spacing w:line="560" w:lineRule="exact"/>
        <w:jc w:val="center"/>
        <w:rPr>
          <w:rFonts w:hint="eastAsia" w:ascii="楷体_GB2312" w:hAnsi="楷体" w:eastAsia="楷体_GB2312" w:cs="黑体"/>
          <w:bCs/>
          <w:kern w:val="0"/>
          <w:sz w:val="32"/>
          <w:szCs w:val="32"/>
        </w:rPr>
      </w:pPr>
      <w:r>
        <w:rPr>
          <w:rFonts w:hint="eastAsia" w:ascii="楷体_GB2312" w:hAnsi="楷体" w:eastAsia="楷体_GB2312" w:cs="黑体"/>
          <w:bCs/>
          <w:kern w:val="0"/>
          <w:sz w:val="32"/>
          <w:szCs w:val="32"/>
        </w:rPr>
        <w:t>（试 行）</w:t>
      </w:r>
    </w:p>
    <w:p>
      <w:pPr>
        <w:widowControl/>
        <w:spacing w:line="560" w:lineRule="exact"/>
        <w:jc w:val="center"/>
        <w:rPr>
          <w:rFonts w:ascii="仿宋_GB2312" w:hAnsi="仿宋_GB2312" w:eastAsia="仿宋_GB2312" w:cs="仿宋_GB2312"/>
          <w:b/>
          <w:kern w:val="0"/>
          <w:sz w:val="38"/>
          <w:szCs w:val="38"/>
        </w:rPr>
      </w:pP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为践行</w:t>
      </w:r>
      <w:r>
        <w:rPr>
          <w:rFonts w:ascii="仿宋_GB2312" w:hAnsi="仿宋_GB2312" w:eastAsia="仿宋_GB2312" w:cs="仿宋_GB2312"/>
          <w:sz w:val="32"/>
          <w:szCs w:val="32"/>
        </w:rPr>
        <w:t>党的十九大报告</w:t>
      </w:r>
      <w:r>
        <w:rPr>
          <w:rFonts w:hint="eastAsia" w:ascii="仿宋_GB2312" w:hAnsi="仿宋_GB2312" w:eastAsia="仿宋_GB2312" w:cs="仿宋_GB2312"/>
          <w:sz w:val="32"/>
          <w:szCs w:val="32"/>
        </w:rPr>
        <w:t>中</w:t>
      </w:r>
      <w:r>
        <w:rPr>
          <w:rFonts w:ascii="仿宋_GB2312" w:hAnsi="仿宋_GB2312" w:eastAsia="仿宋_GB2312" w:cs="仿宋_GB2312"/>
          <w:sz w:val="32"/>
          <w:szCs w:val="32"/>
        </w:rPr>
        <w:t>提出的“深化马克思主义理论研究和建设，加快构建中国特色哲学社会科学，加强中国特色新型智库建设”重要论述</w:t>
      </w:r>
      <w:r>
        <w:rPr>
          <w:rFonts w:hint="eastAsia" w:ascii="仿宋_GB2312" w:hAnsi="仿宋_GB2312" w:eastAsia="仿宋_GB2312" w:cs="仿宋_GB2312"/>
          <w:sz w:val="32"/>
          <w:szCs w:val="32"/>
        </w:rPr>
        <w:t>，贯彻落实《教育部关于印发中国特色新型高校智库建设推进计划的通知》（教社科</w:t>
      </w:r>
      <w:r>
        <w:rPr>
          <w:rFonts w:hint="eastAsia" w:ascii="仿宋_GB2312" w:hAnsi="仿宋" w:eastAsia="仿宋_GB2312"/>
          <w:sz w:val="32"/>
          <w:szCs w:val="32"/>
        </w:rPr>
        <w:t>〔2014〕</w:t>
      </w:r>
      <w:r>
        <w:rPr>
          <w:rFonts w:hint="eastAsia" w:ascii="仿宋_GB2312" w:hAnsi="仿宋_GB2312" w:eastAsia="仿宋_GB2312" w:cs="仿宋_GB2312"/>
          <w:sz w:val="32"/>
          <w:szCs w:val="32"/>
        </w:rPr>
        <w:t>1号）和《中共辽宁省委关于加快全省哲学社会科学繁荣发展的实施意见》（辽委发</w:t>
      </w:r>
      <w:r>
        <w:rPr>
          <w:rFonts w:hint="eastAsia" w:ascii="仿宋_GB2312" w:hAnsi="仿宋" w:eastAsia="仿宋_GB2312"/>
          <w:sz w:val="32"/>
          <w:szCs w:val="32"/>
        </w:rPr>
        <w:t>〔2018〕</w:t>
      </w:r>
      <w:r>
        <w:rPr>
          <w:rFonts w:hint="eastAsia" w:ascii="仿宋_GB2312" w:hAnsi="仿宋_GB2312" w:eastAsia="仿宋_GB2312" w:cs="仿宋_GB2312"/>
          <w:sz w:val="32"/>
          <w:szCs w:val="32"/>
        </w:rPr>
        <w:t>11号）精神，提升高等学校服务党和政府科学决策能力，加强自身内涵式发展建设，省教育厅决定开展高等学校新型智库建设，实施方案如下：</w:t>
      </w:r>
    </w:p>
    <w:p>
      <w:pPr>
        <w:widowControl/>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一、指导思想</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和党的十九大、十九届二中、三中全会精神为指导，围绕国家和辽宁经济社会发展中的战略需求，聚焦社会主义经济建设、政治建设、文化建设、社会建设、生态文明建设、党的建设和国际关系中的重大问题，以及与人民群众切身利益密切相关的实际问题开展高层次的应用对策研究和战略咨询，提供长期的智库支撑，有效服务党和政府的决策，着力提升高等学校的自主创新能力和社会影响力，促进高等学校学科建设、人才培养、科学研究三位一体能力的整体提高，不断增强高等学校在党和国家事业发展特别是辽宁老工业基地新一轮振兴发展中的贡献度。</w:t>
      </w:r>
    </w:p>
    <w:p>
      <w:pPr>
        <w:widowControl/>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二、建设目标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型智库建设以完善和发展中国特色社会主义制度，推进国家治理体系和治理能力现代化为总目标，依托高等学校优势和特色，创新体制机制，整合优质资源，完善总体布局，充分发挥高校智库战略研究、政策建言、人才培养、舆论引导、公共外交的重要功能和作用。重点支持和培养一批具有集成优势的新型智库机构；改革科研项目管理，提高应用研究项目质量，在关键领域、关键环节以及急待解决的问题上取得重大突破；拓展成果转化渠道、搭建高端发布平台、打造高校智库品牌，着力提升高等学校的社会服务能力和服务水平。到2025年，分批次建成20个左右支撑国家和区域发展的新型智库，力争5-10个高校智库进入省级重点新型智库建设范围，力争3-5个高校智库进入国家级高端智库建设体系。</w:t>
      </w:r>
    </w:p>
    <w:p>
      <w:pPr>
        <w:widowControl/>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三、建设方式</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1.建设基础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申报建设智库原则上应在以往基础上进一步加强建设，主要包括但不局限于如下方式：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（1）整合现有优质资源。</w:t>
      </w:r>
      <w:r>
        <w:rPr>
          <w:rFonts w:hint="eastAsia" w:ascii="仿宋_GB2312" w:hAnsi="仿宋_GB2312" w:eastAsia="仿宋_GB2312" w:cs="仿宋_GB2312"/>
          <w:sz w:val="32"/>
          <w:szCs w:val="32"/>
        </w:rPr>
        <w:t>以2011协同创新中心、高校人文社会科学重点研究基地和区域发展战略研究基地建设为基础，重点打造一批具有辽宁特色的省级优质智库，并支持和鼓励其建设成为国家级智库。</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（2）拓展相关平台功能。</w:t>
      </w:r>
      <w:r>
        <w:rPr>
          <w:rFonts w:hint="eastAsia" w:ascii="仿宋_GB2312" w:hAnsi="仿宋_GB2312" w:eastAsia="仿宋_GB2312" w:cs="仿宋_GB2312"/>
          <w:sz w:val="32"/>
          <w:szCs w:val="32"/>
        </w:rPr>
        <w:t>依托自然科学学科的2011协同创新中心、省高等学校重大科技平台和各级各类科研平台（重点实验室、工程技术研究中心、新农村发展研究院等）拓展其功能，力争成为面向国家和国际重大科技战略问题的国家级智库；面向行业、产业科技发展的战略研究中心；面向区域传统产业升级和新兴产业发展的特色政策咨询机构。经过建设，使得上述科研平台同时成为高等学校软科学研究的重要力量。</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2.申报条件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高等学校申报智库应具备以下条件，其中（1）（2）为必备基本条件：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（1）团队及决策咨询渠道建设。</w:t>
      </w:r>
      <w:r>
        <w:rPr>
          <w:rFonts w:hint="eastAsia" w:ascii="仿宋_GB2312" w:hAnsi="仿宋_GB2312" w:eastAsia="仿宋_GB2312" w:cs="仿宋_GB2312"/>
          <w:sz w:val="32"/>
          <w:szCs w:val="32"/>
        </w:rPr>
        <w:t>已具有较好的团队，且建立了稳定的决策咨询渠道；</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负责人条件。智库负责人一般应具有正高级专业技术职称，立场坚定、视野开阔、掌握政策、熟悉情况，在所申报智库研究领域具有较高的学术威望、一定的社会影响力、较强的决策咨询研究能力和组织动员能力，现任学校主要领导一般不作为智库负责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（3）成果积累。</w:t>
      </w:r>
      <w:r>
        <w:rPr>
          <w:rFonts w:hint="eastAsia" w:ascii="仿宋_GB2312" w:hAnsi="仿宋_GB2312" w:eastAsia="仿宋_GB2312" w:cs="仿宋_GB2312"/>
          <w:sz w:val="32"/>
          <w:szCs w:val="32"/>
        </w:rPr>
        <w:t>智库成果有较强的社会影响力且已有一批成果（十二五以来近6年的主要成果）被省级以上党委、政府主要领导批示，并被省级以上职能部门采用；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（4）机构要求。</w:t>
      </w:r>
      <w:r>
        <w:rPr>
          <w:rFonts w:hint="eastAsia" w:ascii="仿宋_GB2312" w:hAnsi="仿宋_GB2312" w:eastAsia="仿宋_GB2312" w:cs="仿宋_GB2312"/>
          <w:sz w:val="32"/>
          <w:szCs w:val="32"/>
        </w:rPr>
        <w:t>具有相关的研究院（所）、中心、基地等实体机构支撑；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（5）合作研究机制。</w:t>
      </w:r>
      <w:r>
        <w:rPr>
          <w:rFonts w:hint="eastAsia" w:ascii="仿宋_GB2312" w:hAnsi="仿宋_GB2312" w:eastAsia="仿宋_GB2312" w:cs="仿宋_GB2312"/>
          <w:sz w:val="32"/>
          <w:szCs w:val="32"/>
        </w:rPr>
        <w:t>已与国内外高水平智库建立良好交流合作研究机制。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（6）协同创新机制。</w:t>
      </w:r>
      <w:r>
        <w:rPr>
          <w:rFonts w:hint="eastAsia" w:ascii="仿宋_GB2312" w:hAnsi="仿宋_GB2312" w:eastAsia="仿宋_GB2312" w:cs="仿宋_GB2312"/>
          <w:sz w:val="32"/>
          <w:szCs w:val="32"/>
        </w:rPr>
        <w:t>高校牵头，需协同相关科研单位、政府部门、社会组织等共同联合组建智库，广泛聚集各类智慧要素和创新要素，提升智库建设的实践性、创新性和应用性。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（7）聘请顾问。</w:t>
      </w:r>
      <w:r>
        <w:rPr>
          <w:rFonts w:hint="eastAsia" w:ascii="仿宋_GB2312" w:hAnsi="仿宋_GB2312" w:eastAsia="仿宋_GB2312" w:cs="仿宋_GB2312"/>
          <w:sz w:val="32"/>
          <w:szCs w:val="32"/>
        </w:rPr>
        <w:t>须有行业、产业战略性科学家作为顾问，并实质性、稳定开展相关工作。</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四、建设任务</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1.建立柔性人才流动运行机制。</w:t>
      </w:r>
      <w:r>
        <w:rPr>
          <w:rFonts w:hint="eastAsia" w:ascii="仿宋_GB2312" w:hAnsi="仿宋_GB2312" w:eastAsia="仿宋_GB2312" w:cs="仿宋_GB2312"/>
          <w:sz w:val="32"/>
          <w:szCs w:val="32"/>
        </w:rPr>
        <w:t>探索建立围绕任务和项目要求的人才柔性流动运行机制，条件成熟情况下，鼓励高等学校智库核心专家到政府部门和国内、国际相关组织挂职任职。聘请有较高理论素养的党政、企事业单位领导干部参与高等学校智库研究工作，形成政产学研用之间人才交叉流动的良好格局。</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bCs/>
          <w:sz w:val="32"/>
          <w:szCs w:val="32"/>
        </w:rPr>
        <w:t>加强平台建设，提高研究咨询能力。</w:t>
      </w:r>
      <w:r>
        <w:rPr>
          <w:rFonts w:hint="eastAsia" w:ascii="仿宋_GB2312" w:hAnsi="仿宋_GB2312" w:eastAsia="仿宋_GB2312" w:cs="仿宋_GB2312"/>
          <w:sz w:val="32"/>
          <w:szCs w:val="32"/>
        </w:rPr>
        <w:t>强化数据库、资料库和网站的建设，鼓励与政府、行业等相关部门共同分享数据资料，加强基于数据分析的研究咨询能力。</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3.举办高端论坛，拓宽决策咨询渠道。</w:t>
      </w:r>
      <w:r>
        <w:rPr>
          <w:rFonts w:hint="eastAsia" w:ascii="仿宋_GB2312" w:hAnsi="仿宋_GB2312" w:eastAsia="仿宋_GB2312" w:cs="仿宋_GB2312"/>
          <w:sz w:val="32"/>
          <w:szCs w:val="32"/>
        </w:rPr>
        <w:t>通过定期举办有影响的高端论坛，帮助研究人员培养政治和问题敏感性，建立与政府部门、媒体和社会等的良好沟通渠道。</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4.采取多种成果公布方式，实现成果转化。</w:t>
      </w:r>
      <w:r>
        <w:rPr>
          <w:rFonts w:hint="eastAsia" w:ascii="仿宋_GB2312" w:hAnsi="仿宋_GB2312" w:eastAsia="仿宋_GB2312" w:cs="仿宋_GB2312"/>
          <w:sz w:val="32"/>
          <w:szCs w:val="32"/>
        </w:rPr>
        <w:t>定期通过论坛、论文、出版物、权威性研究报告、咨询报告等方式来公布成果，并加强对外宣传。每年至少向教育和智库建设依托平台主管部门提供3份左右相关领域的咨询报告，且其中相关内容至少1份被省委、省政府或相关职能部门予以采纳。</w:t>
      </w:r>
    </w:p>
    <w:p>
      <w:pPr>
        <w:widowControl/>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五、组织管理及条件保障</w:t>
      </w:r>
    </w:p>
    <w:p>
      <w:pPr>
        <w:widowControl/>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Cs/>
          <w:sz w:val="32"/>
          <w:szCs w:val="32"/>
        </w:rPr>
        <w:t xml:space="preserve">   1.鼓励协同建设。</w:t>
      </w:r>
      <w:r>
        <w:rPr>
          <w:rFonts w:hint="eastAsia" w:ascii="仿宋_GB2312" w:hAnsi="仿宋_GB2312" w:eastAsia="仿宋_GB2312" w:cs="仿宋_GB2312"/>
          <w:sz w:val="32"/>
          <w:szCs w:val="32"/>
        </w:rPr>
        <w:t>支持高等学校不同学科联合组建研究团队，主动加强与政府研究机构、社科院、科学院、工程院，以及民间智库等的合作，强化高等学校之间及高等学校内部的交叉合作。</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2.改进科研评价。</w:t>
      </w:r>
      <w:r>
        <w:rPr>
          <w:rFonts w:hint="eastAsia" w:ascii="仿宋_GB2312" w:hAnsi="仿宋_GB2312" w:eastAsia="仿宋_GB2312" w:cs="仿宋_GB2312"/>
          <w:sz w:val="32"/>
          <w:szCs w:val="32"/>
        </w:rPr>
        <w:t>牢固树立质量第一的评价导向，实施科学合理的分类评价标准，把解决国家和辽宁重大需求的实际贡献作为核心标准，完善以贡献和质量为导向的绩效评估办法，建立以政府、企业、社会等用户为主的评价机制和人文社会科学研究成果转化机制。</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3.改革支持方式。</w:t>
      </w:r>
      <w:r>
        <w:rPr>
          <w:rFonts w:hint="eastAsia" w:ascii="仿宋_GB2312" w:hAnsi="仿宋_GB2312" w:eastAsia="仿宋_GB2312" w:cs="仿宋_GB2312"/>
          <w:sz w:val="32"/>
          <w:szCs w:val="32"/>
        </w:rPr>
        <w:t>建立后期资助方式，对政府决策产生重大影响的专家、团队和科研成果，可额外申请省教育厅相关人才、团队和项目支持计划，经审定，可给予后期持续支持。密切跟踪重大需求，与实际工作部门合作确定项目选题，设置智库项目专项计划，改进课题立项和结题制度，提高项目设置的针对性、实效性。</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4.加强基础建设。</w:t>
      </w:r>
      <w:r>
        <w:rPr>
          <w:rFonts w:hint="eastAsia" w:ascii="仿宋_GB2312" w:hAnsi="仿宋_GB2312" w:eastAsia="仿宋_GB2312" w:cs="仿宋_GB2312"/>
          <w:sz w:val="32"/>
          <w:szCs w:val="32"/>
        </w:rPr>
        <w:t>高等学校应为智库提供专门的场地和设备，设立专门的机构、人员和必要的运行经费，建立有效运行机制，开展主题网站、信息库等建设，加强日常管理，为参与智库研究的专家提供良好的工作保障和服务支持。</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5.开展年度评估。</w:t>
      </w:r>
      <w:r>
        <w:rPr>
          <w:rFonts w:hint="eastAsia" w:ascii="仿宋_GB2312" w:hAnsi="仿宋_GB2312" w:eastAsia="仿宋_GB2312" w:cs="仿宋_GB2312"/>
          <w:sz w:val="32"/>
          <w:szCs w:val="32"/>
        </w:rPr>
        <w:t>实行“有进有退、优胜劣汰”的动态管理制度。申报获得批准的智库，将于下一年进行年度评估，评估指标体系由三级指标构成，分为5个一级指标、14个二级指标、19个三级指标。19个三级指标中，核心指标</w:t>
      </w:r>
      <w:r>
        <w:rPr>
          <w:rFonts w:ascii="仿宋_GB2312" w:hAnsi="仿宋_GB2312" w:eastAsia="仿宋_GB2312" w:cs="仿宋_GB2312"/>
          <w:sz w:val="32"/>
          <w:szCs w:val="32"/>
        </w:rPr>
        <w:t>A</w:t>
      </w:r>
      <w:r>
        <w:rPr>
          <w:rFonts w:ascii="Symbol" w:hAnsi="Symbol" w:cs="宋体"/>
          <w:bCs/>
          <w:spacing w:val="-12"/>
          <w:kern w:val="0"/>
          <w:sz w:val="28"/>
          <w:szCs w:val="28"/>
        </w:rPr>
        <w:t></w:t>
      </w:r>
      <w:r>
        <w:rPr>
          <w:rFonts w:hint="eastAsia" w:ascii="仿宋_GB2312" w:hAnsi="仿宋_GB2312" w:eastAsia="仿宋_GB2312" w:cs="仿宋_GB2312"/>
          <w:sz w:val="32"/>
          <w:szCs w:val="32"/>
        </w:rPr>
        <w:t>（4项）是必达标项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重点指标和基本指标达标6项以下者，为年度评估不合格智库；重点指标A（6项）达标5项以上，基本指标B（9）项达标6项以上者，为年度评估合格智库；重点指标A（6项）全部达标，基本指标B（9项）达标8项以上者，为年度评估优秀智库。</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我厅将在对各个智库进行年度评估的基础上，发布年度评估报告。</w:t>
      </w:r>
    </w:p>
    <w:p>
      <w:pPr>
        <w:widowControl/>
        <w:spacing w:line="560" w:lineRule="exact"/>
        <w:ind w:firstLine="640" w:firstLineChars="200"/>
        <w:jc w:val="left"/>
        <w:rPr>
          <w:rFonts w:ascii="仿宋_GB2312" w:hAnsi="仿宋_GB2312" w:eastAsia="仿宋_GB2312" w:cs="仿宋_GB2312"/>
          <w:sz w:val="32"/>
          <w:szCs w:val="32"/>
        </w:rPr>
      </w:pP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宋体" w:eastAsia="仿宋_GB2312" w:cs="宋体"/>
          <w:bCs/>
          <w:kern w:val="0"/>
          <w:sz w:val="32"/>
          <w:szCs w:val="32"/>
        </w:rPr>
        <w:t>辽宁省高等学校新型智库建设评估指标体系</w:t>
      </w:r>
    </w:p>
    <w:p>
      <w:pPr>
        <w:widowControl/>
        <w:spacing w:line="600" w:lineRule="exact"/>
        <w:jc w:val="left"/>
        <w:rPr>
          <w:rFonts w:ascii="仿宋_GB2312" w:hAnsi="仿宋_GB2312" w:eastAsia="仿宋_GB2312" w:cs="仿宋_GB2312"/>
          <w:sz w:val="32"/>
          <w:szCs w:val="32"/>
        </w:rPr>
      </w:pPr>
    </w:p>
    <w:p>
      <w:pPr>
        <w:widowControl/>
        <w:spacing w:line="600" w:lineRule="exact"/>
        <w:jc w:val="left"/>
        <w:rPr>
          <w:rFonts w:hint="eastAsia" w:ascii="仿宋_GB2312" w:hAnsi="仿宋_GB2312" w:eastAsia="仿宋_GB2312" w:cs="仿宋_GB2312"/>
          <w:sz w:val="32"/>
          <w:szCs w:val="32"/>
        </w:rPr>
      </w:pPr>
    </w:p>
    <w:p>
      <w:pPr>
        <w:widowControl/>
        <w:spacing w:line="600" w:lineRule="exact"/>
        <w:jc w:val="left"/>
        <w:rPr>
          <w:rFonts w:ascii="仿宋_GB2312" w:hAnsi="仿宋_GB2312" w:eastAsia="仿宋_GB2312" w:cs="仿宋_GB2312"/>
          <w:sz w:val="32"/>
          <w:szCs w:val="32"/>
        </w:rPr>
      </w:pPr>
    </w:p>
    <w:p>
      <w:pPr>
        <w:spacing w:line="400" w:lineRule="exact"/>
        <w:rPr>
          <w:rFonts w:hint="eastAsia" w:ascii="宋体" w:hAnsi="宋体"/>
          <w:sz w:val="32"/>
          <w:szCs w:val="32"/>
        </w:rPr>
      </w:pPr>
      <w:r>
        <w:rPr>
          <w:rFonts w:hint="eastAsia" w:ascii="宋体" w:hAnsi="宋体"/>
          <w:strike/>
          <w:position w:val="6"/>
          <w:sz w:val="32"/>
          <w:szCs w:val="32"/>
        </w:rPr>
        <w:t xml:space="preserve">                                                         </w:t>
      </w:r>
    </w:p>
    <w:p>
      <w:pPr>
        <w:spacing w:line="400" w:lineRule="exact"/>
        <w:ind w:firstLine="272" w:firstLineChars="100"/>
        <w:rPr>
          <w:rFonts w:hint="eastAsia" w:ascii="仿宋_GB2312" w:eastAsia="仿宋_GB2312"/>
          <w:spacing w:val="-4"/>
          <w:sz w:val="28"/>
          <w:szCs w:val="28"/>
        </w:rPr>
      </w:pPr>
      <w:r>
        <w:rPr>
          <w:rFonts w:hint="eastAsia" w:ascii="仿宋_GB2312" w:eastAsia="仿宋_GB2312"/>
          <w:spacing w:val="-4"/>
          <w:sz w:val="28"/>
          <w:szCs w:val="28"/>
        </w:rPr>
        <w:t>辽宁省教育厅科技与信息化建设处拟文       2018年9月28日印发</w:t>
      </w:r>
    </w:p>
    <w:p>
      <w:pPr>
        <w:spacing w:line="400" w:lineRule="exact"/>
        <w:rPr>
          <w:rFonts w:hint="eastAsia" w:ascii="宋体" w:hAnsi="宋体"/>
          <w:strike/>
          <w:position w:val="6"/>
          <w:sz w:val="32"/>
          <w:szCs w:val="32"/>
        </w:rPr>
      </w:pPr>
      <w:r>
        <w:rPr>
          <w:rFonts w:hint="eastAsia" w:ascii="宋体" w:hAnsi="宋体"/>
          <w:strike/>
          <w:position w:val="6"/>
          <w:sz w:val="32"/>
          <w:szCs w:val="32"/>
        </w:rPr>
        <w:t xml:space="preserve">                                                       </w:t>
      </w:r>
    </w:p>
    <w:p>
      <w:pPr>
        <w:widowControl/>
        <w:spacing w:line="500" w:lineRule="exact"/>
        <w:jc w:val="left"/>
        <w:rPr>
          <w:rFonts w:hint="eastAsia" w:ascii="黑体" w:hAnsi="黑体" w:eastAsia="黑体" w:cs="仿宋_GB2312"/>
          <w:sz w:val="32"/>
          <w:szCs w:val="32"/>
        </w:rPr>
      </w:pPr>
      <w:r>
        <w:rPr>
          <w:rFonts w:hint="eastAsia" w:ascii="黑体" w:hAnsi="黑体" w:eastAsia="黑体" w:cs="仿宋_GB2312"/>
          <w:sz w:val="32"/>
          <w:szCs w:val="32"/>
        </w:rPr>
        <w:t>附件</w:t>
      </w:r>
    </w:p>
    <w:p>
      <w:pPr>
        <w:widowControl/>
        <w:spacing w:line="500" w:lineRule="exact"/>
        <w:jc w:val="left"/>
        <w:rPr>
          <w:rFonts w:ascii="黑体" w:hAnsi="黑体" w:eastAsia="黑体" w:cs="仿宋_GB2312"/>
          <w:sz w:val="32"/>
          <w:szCs w:val="32"/>
        </w:rPr>
      </w:pPr>
    </w:p>
    <w:p>
      <w:pPr>
        <w:widowControl/>
        <w:spacing w:line="500" w:lineRule="exact"/>
        <w:ind w:firstLine="1246"/>
        <w:jc w:val="center"/>
        <w:rPr>
          <w:rFonts w:hint="eastAsia"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辽宁省高等学校新型智库建设评估指标体系</w:t>
      </w:r>
    </w:p>
    <w:p>
      <w:pPr>
        <w:widowControl/>
        <w:spacing w:line="500" w:lineRule="exact"/>
        <w:ind w:firstLine="1807" w:firstLineChars="600"/>
        <w:rPr>
          <w:rFonts w:ascii="仿宋_GB2312" w:hAnsi="宋体" w:eastAsia="仿宋_GB2312" w:cs="宋体"/>
          <w:b/>
          <w:bCs/>
          <w:kern w:val="0"/>
          <w:sz w:val="30"/>
          <w:szCs w:val="30"/>
        </w:rPr>
      </w:pPr>
    </w:p>
    <w:tbl>
      <w:tblPr>
        <w:tblStyle w:val="5"/>
        <w:tblW w:w="9377"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5"/>
        <w:gridCol w:w="497"/>
        <w:gridCol w:w="5682"/>
        <w:gridCol w:w="534"/>
        <w:gridCol w:w="1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87" w:hRule="exact"/>
        </w:trPr>
        <w:tc>
          <w:tcPr>
            <w:tcW w:w="665" w:type="dxa"/>
            <w:tcMar>
              <w:top w:w="0" w:type="dxa"/>
              <w:left w:w="108" w:type="dxa"/>
              <w:bottom w:w="0" w:type="dxa"/>
              <w:right w:w="108" w:type="dxa"/>
            </w:tcMar>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w:t>
            </w:r>
          </w:p>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497" w:type="dxa"/>
            <w:tcMar>
              <w:top w:w="0" w:type="dxa"/>
              <w:left w:w="108" w:type="dxa"/>
              <w:bottom w:w="0" w:type="dxa"/>
              <w:right w:w="108" w:type="dxa"/>
            </w:tcMar>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5682" w:type="dxa"/>
            <w:tcMar>
              <w:top w:w="0" w:type="dxa"/>
              <w:left w:w="108" w:type="dxa"/>
              <w:bottom w:w="0" w:type="dxa"/>
              <w:right w:w="108" w:type="dxa"/>
            </w:tcMar>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534" w:type="dxa"/>
            <w:tcMar>
              <w:top w:w="0" w:type="dxa"/>
              <w:left w:w="108" w:type="dxa"/>
              <w:bottom w:w="0" w:type="dxa"/>
              <w:right w:w="108" w:type="dxa"/>
            </w:tcMar>
            <w:vAlign w:val="center"/>
          </w:tcPr>
          <w:p>
            <w:pPr>
              <w:widowControl/>
              <w:spacing w:line="20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指标类型</w:t>
            </w:r>
          </w:p>
        </w:tc>
        <w:tc>
          <w:tcPr>
            <w:tcW w:w="1999" w:type="dxa"/>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665" w:type="dxa"/>
            <w:vMerge w:val="restart"/>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机</w:t>
            </w:r>
          </w:p>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构</w:t>
            </w:r>
          </w:p>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建</w:t>
            </w:r>
          </w:p>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设</w:t>
            </w:r>
          </w:p>
        </w:tc>
        <w:tc>
          <w:tcPr>
            <w:tcW w:w="497" w:type="dxa"/>
            <w:tcMar>
              <w:top w:w="0" w:type="dxa"/>
              <w:left w:w="108" w:type="dxa"/>
              <w:bottom w:w="0" w:type="dxa"/>
              <w:right w:w="108" w:type="dxa"/>
            </w:tcMar>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机构支撑</w:t>
            </w:r>
          </w:p>
        </w:tc>
        <w:tc>
          <w:tcPr>
            <w:tcW w:w="5682" w:type="dxa"/>
            <w:tcMar>
              <w:top w:w="0" w:type="dxa"/>
              <w:left w:w="108" w:type="dxa"/>
              <w:bottom w:w="0" w:type="dxa"/>
              <w:right w:w="108" w:type="dxa"/>
            </w:tcMar>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具有相</w:t>
            </w:r>
            <w:r>
              <w:rPr>
                <w:rFonts w:hint="eastAsia" w:ascii="仿宋_GB2312" w:hAnsi="宋体" w:eastAsia="仿宋_GB2312" w:cs="宋体"/>
                <w:b/>
                <w:kern w:val="0"/>
                <w:szCs w:val="21"/>
              </w:rPr>
              <w:t>关的1个以上研究</w:t>
            </w:r>
            <w:r>
              <w:rPr>
                <w:rFonts w:hint="eastAsia" w:ascii="仿宋_GB2312" w:hAnsi="宋体" w:eastAsia="仿宋_GB2312" w:cs="宋体"/>
                <w:kern w:val="0"/>
                <w:szCs w:val="21"/>
              </w:rPr>
              <w:t>院（所）、中心、基地等实体机构支撑。</w:t>
            </w:r>
          </w:p>
        </w:tc>
        <w:tc>
          <w:tcPr>
            <w:tcW w:w="534" w:type="dxa"/>
            <w:tcMar>
              <w:top w:w="0" w:type="dxa"/>
              <w:left w:w="108" w:type="dxa"/>
              <w:bottom w:w="0" w:type="dxa"/>
              <w:right w:w="108" w:type="dxa"/>
            </w:tcMar>
            <w:vAlign w:val="center"/>
          </w:tcPr>
          <w:p>
            <w:pPr>
              <w:widowControl/>
              <w:spacing w:line="28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A</w:t>
            </w:r>
          </w:p>
          <w:p>
            <w:pPr>
              <w:widowControl/>
              <w:spacing w:line="280" w:lineRule="exact"/>
              <w:jc w:val="center"/>
              <w:rPr>
                <w:rFonts w:ascii="仿宋_GB2312" w:hAnsi="宋体" w:eastAsia="仿宋_GB2312" w:cs="宋体"/>
                <w:kern w:val="0"/>
                <w:szCs w:val="21"/>
              </w:rPr>
            </w:pPr>
          </w:p>
        </w:tc>
        <w:tc>
          <w:tcPr>
            <w:tcW w:w="1999" w:type="dxa"/>
            <w:vAlign w:val="center"/>
          </w:tcPr>
          <w:p>
            <w:pPr>
              <w:spacing w:line="240" w:lineRule="exac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3" w:hRule="exact"/>
        </w:trPr>
        <w:tc>
          <w:tcPr>
            <w:tcW w:w="665" w:type="dxa"/>
            <w:vMerge w:val="continue"/>
            <w:vAlign w:val="center"/>
          </w:tcPr>
          <w:p>
            <w:pPr>
              <w:widowControl/>
              <w:spacing w:line="280" w:lineRule="exact"/>
              <w:jc w:val="left"/>
              <w:rPr>
                <w:rFonts w:ascii="仿宋_GB2312" w:hAnsi="宋体" w:eastAsia="仿宋_GB2312" w:cs="宋体"/>
                <w:kern w:val="0"/>
                <w:szCs w:val="21"/>
              </w:rPr>
            </w:pPr>
          </w:p>
        </w:tc>
        <w:tc>
          <w:tcPr>
            <w:tcW w:w="497" w:type="dxa"/>
            <w:vMerge w:val="restart"/>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基</w:t>
            </w:r>
          </w:p>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础</w:t>
            </w:r>
          </w:p>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建</w:t>
            </w:r>
          </w:p>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设</w:t>
            </w:r>
          </w:p>
        </w:tc>
        <w:tc>
          <w:tcPr>
            <w:tcW w:w="5682" w:type="dxa"/>
            <w:tcMar>
              <w:top w:w="0" w:type="dxa"/>
              <w:left w:w="108" w:type="dxa"/>
              <w:bottom w:w="0" w:type="dxa"/>
              <w:right w:w="108" w:type="dxa"/>
            </w:tcMar>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为智库建设提供专门的办公场地，必要的运行经费（每年不少于5万元），建立有效运行机制。</w:t>
            </w:r>
          </w:p>
        </w:tc>
        <w:tc>
          <w:tcPr>
            <w:tcW w:w="534" w:type="dxa"/>
            <w:tcMar>
              <w:top w:w="0" w:type="dxa"/>
              <w:left w:w="108" w:type="dxa"/>
              <w:bottom w:w="0" w:type="dxa"/>
              <w:right w:w="108" w:type="dxa"/>
            </w:tcMar>
            <w:vAlign w:val="center"/>
          </w:tcPr>
          <w:p>
            <w:pPr>
              <w:widowControl/>
              <w:spacing w:line="28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A</w:t>
            </w:r>
          </w:p>
          <w:p>
            <w:pPr>
              <w:widowControl/>
              <w:spacing w:line="280" w:lineRule="exact"/>
              <w:jc w:val="center"/>
              <w:rPr>
                <w:rFonts w:ascii="仿宋_GB2312" w:hAnsi="宋体" w:eastAsia="仿宋_GB2312" w:cs="宋体"/>
                <w:kern w:val="0"/>
                <w:szCs w:val="21"/>
              </w:rPr>
            </w:pPr>
          </w:p>
        </w:tc>
        <w:tc>
          <w:tcPr>
            <w:tcW w:w="1999" w:type="dxa"/>
            <w:vAlign w:val="center"/>
          </w:tcPr>
          <w:p>
            <w:pPr>
              <w:spacing w:line="240" w:lineRule="exac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70" w:hRule="exact"/>
        </w:trPr>
        <w:tc>
          <w:tcPr>
            <w:tcW w:w="665" w:type="dxa"/>
            <w:vMerge w:val="continue"/>
            <w:vAlign w:val="center"/>
          </w:tcPr>
          <w:p>
            <w:pPr>
              <w:widowControl/>
              <w:spacing w:line="280" w:lineRule="exact"/>
              <w:jc w:val="left"/>
              <w:rPr>
                <w:rFonts w:ascii="仿宋_GB2312" w:hAnsi="宋体" w:eastAsia="仿宋_GB2312" w:cs="宋体"/>
                <w:kern w:val="0"/>
                <w:szCs w:val="21"/>
              </w:rPr>
            </w:pPr>
          </w:p>
        </w:tc>
        <w:tc>
          <w:tcPr>
            <w:tcW w:w="497" w:type="dxa"/>
            <w:vMerge w:val="continue"/>
            <w:vAlign w:val="center"/>
          </w:tcPr>
          <w:p>
            <w:pPr>
              <w:widowControl/>
              <w:spacing w:line="240" w:lineRule="exact"/>
              <w:jc w:val="left"/>
              <w:rPr>
                <w:rFonts w:ascii="仿宋_GB2312" w:hAnsi="宋体" w:eastAsia="仿宋_GB2312" w:cs="宋体"/>
                <w:kern w:val="0"/>
                <w:szCs w:val="21"/>
              </w:rPr>
            </w:pPr>
          </w:p>
        </w:tc>
        <w:tc>
          <w:tcPr>
            <w:tcW w:w="5682" w:type="dxa"/>
            <w:tcMar>
              <w:top w:w="0" w:type="dxa"/>
              <w:left w:w="108" w:type="dxa"/>
              <w:bottom w:w="0" w:type="dxa"/>
              <w:right w:w="108" w:type="dxa"/>
            </w:tcMar>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智库负责人一般应具有正高级专业技术职称，立场坚定、视野开阔、熟悉情况、掌握政策，在所申报智库研究领域具有较高的学术威望、一定的社会影响力、较强的决策咨询研究能力和组织动员能力，现任学校主要领导一般不作为智库负责人。</w:t>
            </w:r>
          </w:p>
        </w:tc>
        <w:tc>
          <w:tcPr>
            <w:tcW w:w="534" w:type="dxa"/>
            <w:tcMar>
              <w:top w:w="0" w:type="dxa"/>
              <w:left w:w="108" w:type="dxa"/>
              <w:bottom w:w="0" w:type="dxa"/>
              <w:right w:w="108" w:type="dxa"/>
            </w:tcMar>
            <w:vAlign w:val="center"/>
          </w:tcPr>
          <w:p>
            <w:pPr>
              <w:widowControl/>
              <w:spacing w:line="280" w:lineRule="exact"/>
              <w:jc w:val="center"/>
              <w:rPr>
                <w:rFonts w:ascii="仿宋_GB2312" w:hAnsi="宋体" w:eastAsia="仿宋_GB2312" w:cs="宋体"/>
                <w:kern w:val="0"/>
                <w:szCs w:val="21"/>
              </w:rPr>
            </w:pPr>
            <w:r>
              <w:rPr>
                <w:rFonts w:ascii="仿宋_GB2312" w:hAnsi="宋体" w:eastAsia="仿宋_GB2312" w:cs="宋体"/>
                <w:color w:val="000000"/>
                <w:kern w:val="0"/>
                <w:szCs w:val="21"/>
              </w:rPr>
              <w:t>A</w:t>
            </w:r>
            <w:r>
              <w:rPr>
                <w:rFonts w:ascii="Symbol" w:hAnsi="Symbol" w:cs="宋体"/>
                <w:b/>
                <w:bCs/>
                <w:color w:val="000000"/>
                <w:spacing w:val="-12"/>
                <w:kern w:val="0"/>
                <w:sz w:val="28"/>
                <w:szCs w:val="28"/>
              </w:rPr>
              <w:t></w:t>
            </w:r>
          </w:p>
        </w:tc>
        <w:tc>
          <w:tcPr>
            <w:tcW w:w="1999" w:type="dxa"/>
            <w:vAlign w:val="center"/>
          </w:tcPr>
          <w:p>
            <w:pPr>
              <w:spacing w:line="240" w:lineRule="exac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9" w:hRule="exact"/>
        </w:trPr>
        <w:tc>
          <w:tcPr>
            <w:tcW w:w="665" w:type="dxa"/>
            <w:vMerge w:val="continue"/>
            <w:vAlign w:val="center"/>
          </w:tcPr>
          <w:p>
            <w:pPr>
              <w:widowControl/>
              <w:spacing w:line="280" w:lineRule="exact"/>
              <w:jc w:val="left"/>
              <w:rPr>
                <w:rFonts w:ascii="仿宋_GB2312" w:hAnsi="宋体" w:eastAsia="仿宋_GB2312" w:cs="宋体"/>
                <w:kern w:val="0"/>
                <w:szCs w:val="21"/>
              </w:rPr>
            </w:pPr>
          </w:p>
        </w:tc>
        <w:tc>
          <w:tcPr>
            <w:tcW w:w="497" w:type="dxa"/>
            <w:vMerge w:val="continue"/>
            <w:vAlign w:val="center"/>
          </w:tcPr>
          <w:p>
            <w:pPr>
              <w:widowControl/>
              <w:spacing w:line="240" w:lineRule="exact"/>
              <w:jc w:val="left"/>
              <w:rPr>
                <w:rFonts w:ascii="仿宋_GB2312" w:hAnsi="宋体" w:eastAsia="仿宋_GB2312" w:cs="宋体"/>
                <w:kern w:val="0"/>
                <w:szCs w:val="21"/>
              </w:rPr>
            </w:pPr>
          </w:p>
        </w:tc>
        <w:tc>
          <w:tcPr>
            <w:tcW w:w="5682" w:type="dxa"/>
            <w:tcMar>
              <w:top w:w="0" w:type="dxa"/>
              <w:left w:w="108" w:type="dxa"/>
              <w:bottom w:w="0" w:type="dxa"/>
              <w:right w:w="108" w:type="dxa"/>
            </w:tcMar>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开展主题网站、信息库等建设，加强日常管理，为参与智库研究的专家提供良好的工作保障和服务支持。</w:t>
            </w:r>
          </w:p>
        </w:tc>
        <w:tc>
          <w:tcPr>
            <w:tcW w:w="534" w:type="dxa"/>
            <w:tcMar>
              <w:top w:w="0" w:type="dxa"/>
              <w:left w:w="108" w:type="dxa"/>
              <w:bottom w:w="0" w:type="dxa"/>
              <w:right w:w="108" w:type="dxa"/>
            </w:tcMar>
            <w:vAlign w:val="center"/>
          </w:tcPr>
          <w:p>
            <w:pPr>
              <w:widowControl/>
              <w:spacing w:line="28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A</w:t>
            </w:r>
          </w:p>
          <w:p>
            <w:pPr>
              <w:widowControl/>
              <w:spacing w:line="280" w:lineRule="exact"/>
              <w:jc w:val="center"/>
              <w:rPr>
                <w:rFonts w:ascii="仿宋_GB2312" w:hAnsi="宋体" w:eastAsia="仿宋_GB2312" w:cs="宋体"/>
                <w:kern w:val="0"/>
                <w:szCs w:val="21"/>
              </w:rPr>
            </w:pPr>
          </w:p>
        </w:tc>
        <w:tc>
          <w:tcPr>
            <w:tcW w:w="1999" w:type="dxa"/>
            <w:vAlign w:val="center"/>
          </w:tcPr>
          <w:p>
            <w:pPr>
              <w:spacing w:line="240" w:lineRule="exac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5" w:hRule="exact"/>
        </w:trPr>
        <w:tc>
          <w:tcPr>
            <w:tcW w:w="665" w:type="dxa"/>
            <w:vMerge w:val="continue"/>
            <w:vAlign w:val="center"/>
          </w:tcPr>
          <w:p>
            <w:pPr>
              <w:widowControl/>
              <w:spacing w:line="280" w:lineRule="exact"/>
              <w:jc w:val="left"/>
              <w:rPr>
                <w:rFonts w:ascii="仿宋_GB2312" w:hAnsi="宋体" w:eastAsia="仿宋_GB2312" w:cs="宋体"/>
                <w:kern w:val="0"/>
                <w:szCs w:val="21"/>
              </w:rPr>
            </w:pPr>
          </w:p>
        </w:tc>
        <w:tc>
          <w:tcPr>
            <w:tcW w:w="497" w:type="dxa"/>
            <w:vMerge w:val="restart"/>
            <w:tcMar>
              <w:top w:w="0" w:type="dxa"/>
              <w:left w:w="108" w:type="dxa"/>
              <w:bottom w:w="0" w:type="dxa"/>
              <w:right w:w="108" w:type="dxa"/>
            </w:tcMar>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交流合作</w:t>
            </w:r>
          </w:p>
        </w:tc>
        <w:tc>
          <w:tcPr>
            <w:tcW w:w="5682" w:type="dxa"/>
            <w:tcMar>
              <w:top w:w="0" w:type="dxa"/>
              <w:left w:w="108" w:type="dxa"/>
              <w:bottom w:w="0" w:type="dxa"/>
              <w:right w:w="108" w:type="dxa"/>
            </w:tcMar>
            <w:vAlign w:val="center"/>
          </w:tcPr>
          <w:p>
            <w:pPr>
              <w:rPr>
                <w:rFonts w:ascii="仿宋_GB2312" w:hAnsi="宋体" w:eastAsia="仿宋_GB2312" w:cs="宋体"/>
                <w:kern w:val="0"/>
                <w:szCs w:val="21"/>
              </w:rPr>
            </w:pPr>
            <w:r>
              <w:rPr>
                <w:rFonts w:hint="eastAsia" w:ascii="仿宋_GB2312" w:hAnsi="宋体" w:eastAsia="仿宋_GB2312" w:cs="宋体"/>
                <w:kern w:val="0"/>
                <w:szCs w:val="21"/>
              </w:rPr>
              <w:t>与国内外高水平智库建立良好交流合作研究机制。</w:t>
            </w:r>
          </w:p>
        </w:tc>
        <w:tc>
          <w:tcPr>
            <w:tcW w:w="534" w:type="dxa"/>
            <w:tcMar>
              <w:top w:w="0" w:type="dxa"/>
              <w:left w:w="108" w:type="dxa"/>
              <w:bottom w:w="0" w:type="dxa"/>
              <w:right w:w="108" w:type="dxa"/>
            </w:tcMar>
            <w:vAlign w:val="center"/>
          </w:tcPr>
          <w:p>
            <w:pPr>
              <w:widowControl/>
              <w:spacing w:line="280" w:lineRule="exact"/>
              <w:jc w:val="center"/>
              <w:rPr>
                <w:rFonts w:ascii="仿宋_GB2312" w:hAnsi="宋体" w:eastAsia="仿宋_GB2312" w:cs="宋体"/>
                <w:kern w:val="0"/>
                <w:szCs w:val="21"/>
              </w:rPr>
            </w:pPr>
            <w:r>
              <w:rPr>
                <w:rFonts w:ascii="仿宋_GB2312" w:hAnsi="宋体" w:eastAsia="仿宋_GB2312" w:cs="宋体"/>
                <w:kern w:val="0"/>
                <w:szCs w:val="21"/>
              </w:rPr>
              <w:t> B</w:t>
            </w:r>
          </w:p>
        </w:tc>
        <w:tc>
          <w:tcPr>
            <w:tcW w:w="1999" w:type="dxa"/>
            <w:vAlign w:val="center"/>
          </w:tcPr>
          <w:p>
            <w:pPr>
              <w:spacing w:line="240" w:lineRule="exac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39" w:hRule="exact"/>
        </w:trPr>
        <w:tc>
          <w:tcPr>
            <w:tcW w:w="665" w:type="dxa"/>
            <w:vMerge w:val="continue"/>
            <w:vAlign w:val="center"/>
          </w:tcPr>
          <w:p>
            <w:pPr>
              <w:widowControl/>
              <w:spacing w:line="280" w:lineRule="exact"/>
              <w:jc w:val="left"/>
              <w:rPr>
                <w:rFonts w:ascii="仿宋_GB2312" w:hAnsi="宋体" w:eastAsia="仿宋_GB2312" w:cs="宋体"/>
                <w:kern w:val="0"/>
                <w:szCs w:val="21"/>
              </w:rPr>
            </w:pPr>
          </w:p>
        </w:tc>
        <w:tc>
          <w:tcPr>
            <w:tcW w:w="497" w:type="dxa"/>
            <w:vMerge w:val="continue"/>
            <w:tcMar>
              <w:top w:w="0" w:type="dxa"/>
              <w:left w:w="108" w:type="dxa"/>
              <w:bottom w:w="0" w:type="dxa"/>
              <w:right w:w="108" w:type="dxa"/>
            </w:tcMar>
            <w:vAlign w:val="center"/>
          </w:tcPr>
          <w:p>
            <w:pPr>
              <w:widowControl/>
              <w:spacing w:line="240" w:lineRule="exact"/>
              <w:jc w:val="center"/>
              <w:rPr>
                <w:rFonts w:ascii="仿宋_GB2312" w:hAnsi="宋体" w:eastAsia="仿宋_GB2312" w:cs="宋体"/>
                <w:kern w:val="0"/>
                <w:szCs w:val="21"/>
              </w:rPr>
            </w:pPr>
          </w:p>
        </w:tc>
        <w:tc>
          <w:tcPr>
            <w:tcW w:w="5682" w:type="dxa"/>
            <w:tcMar>
              <w:top w:w="0" w:type="dxa"/>
              <w:left w:w="108" w:type="dxa"/>
              <w:bottom w:w="0" w:type="dxa"/>
              <w:right w:w="108" w:type="dxa"/>
            </w:tcMar>
            <w:vAlign w:val="center"/>
          </w:tcPr>
          <w:p>
            <w:pPr>
              <w:rPr>
                <w:rFonts w:ascii="仿宋_GB2312" w:hAnsi="宋体" w:eastAsia="仿宋_GB2312" w:cs="宋体"/>
                <w:kern w:val="0"/>
                <w:szCs w:val="21"/>
              </w:rPr>
            </w:pPr>
            <w:r>
              <w:rPr>
                <w:rFonts w:hint="eastAsia" w:ascii="仿宋_GB2312" w:hAnsi="宋体" w:eastAsia="仿宋_GB2312" w:cs="宋体"/>
                <w:kern w:val="0"/>
                <w:szCs w:val="21"/>
              </w:rPr>
              <w:t>有1名以上行业、产业战略性科学家作为顾问，并实质性、稳定开展相关工作。</w:t>
            </w:r>
          </w:p>
        </w:tc>
        <w:tc>
          <w:tcPr>
            <w:tcW w:w="534" w:type="dxa"/>
            <w:tcMar>
              <w:top w:w="0" w:type="dxa"/>
              <w:left w:w="108" w:type="dxa"/>
              <w:bottom w:w="0" w:type="dxa"/>
              <w:right w:w="108" w:type="dxa"/>
            </w:tcMar>
            <w:vAlign w:val="center"/>
          </w:tcPr>
          <w:p>
            <w:pPr>
              <w:widowControl/>
              <w:spacing w:line="280" w:lineRule="exact"/>
              <w:jc w:val="center"/>
              <w:rPr>
                <w:rFonts w:ascii="仿宋_GB2312" w:hAnsi="宋体" w:eastAsia="仿宋_GB2312" w:cs="宋体"/>
                <w:kern w:val="0"/>
                <w:szCs w:val="21"/>
              </w:rPr>
            </w:pPr>
            <w:r>
              <w:rPr>
                <w:rFonts w:ascii="仿宋_GB2312" w:hAnsi="宋体" w:eastAsia="仿宋_GB2312" w:cs="宋体"/>
                <w:kern w:val="0"/>
                <w:szCs w:val="21"/>
              </w:rPr>
              <w:t>B</w:t>
            </w:r>
          </w:p>
        </w:tc>
        <w:tc>
          <w:tcPr>
            <w:tcW w:w="1999" w:type="dxa"/>
            <w:vAlign w:val="center"/>
          </w:tcPr>
          <w:p>
            <w:pPr>
              <w:spacing w:line="240" w:lineRule="exac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665" w:type="dxa"/>
            <w:vMerge w:val="restart"/>
            <w:tcMar>
              <w:top w:w="0" w:type="dxa"/>
              <w:left w:w="108" w:type="dxa"/>
              <w:bottom w:w="0" w:type="dxa"/>
              <w:right w:w="108" w:type="dxa"/>
            </w:tcMar>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队</w:t>
            </w:r>
          </w:p>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伍</w:t>
            </w:r>
          </w:p>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建</w:t>
            </w:r>
          </w:p>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 xml:space="preserve">设 </w:t>
            </w:r>
          </w:p>
        </w:tc>
        <w:tc>
          <w:tcPr>
            <w:tcW w:w="497" w:type="dxa"/>
            <w:tcMar>
              <w:top w:w="0" w:type="dxa"/>
              <w:left w:w="108" w:type="dxa"/>
              <w:bottom w:w="0" w:type="dxa"/>
              <w:right w:w="108" w:type="dxa"/>
            </w:tcMar>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团队建设</w:t>
            </w:r>
          </w:p>
        </w:tc>
        <w:tc>
          <w:tcPr>
            <w:tcW w:w="5682" w:type="dxa"/>
            <w:tcMar>
              <w:top w:w="0" w:type="dxa"/>
              <w:left w:w="108" w:type="dxa"/>
              <w:bottom w:w="0" w:type="dxa"/>
              <w:right w:w="108" w:type="dxa"/>
            </w:tcMar>
            <w:vAlign w:val="center"/>
          </w:tcPr>
          <w:p>
            <w:pPr>
              <w:widowControl/>
              <w:spacing w:line="600" w:lineRule="exact"/>
              <w:rPr>
                <w:rFonts w:ascii="仿宋_GB2312" w:hAnsi="宋体" w:eastAsia="仿宋_GB2312" w:cs="宋体"/>
                <w:kern w:val="0"/>
                <w:szCs w:val="21"/>
              </w:rPr>
            </w:pPr>
            <w:r>
              <w:rPr>
                <w:rFonts w:hint="eastAsia" w:ascii="仿宋_GB2312" w:hAnsi="宋体" w:eastAsia="仿宋_GB2312" w:cs="宋体"/>
                <w:kern w:val="0"/>
                <w:szCs w:val="21"/>
              </w:rPr>
              <w:t>遴选确定立场坚定、理论深厚、掌握政策、联系实际的专家，建立一支10人以上的学校咨政研究核心团队，学校给予长期稳定支持。</w:t>
            </w:r>
          </w:p>
        </w:tc>
        <w:tc>
          <w:tcPr>
            <w:tcW w:w="534" w:type="dxa"/>
            <w:tcMar>
              <w:top w:w="0" w:type="dxa"/>
              <w:left w:w="108" w:type="dxa"/>
              <w:bottom w:w="0" w:type="dxa"/>
              <w:right w:w="108" w:type="dxa"/>
            </w:tcMar>
            <w:vAlign w:val="center"/>
          </w:tcPr>
          <w:p>
            <w:pPr>
              <w:widowControl/>
              <w:spacing w:line="280" w:lineRule="exact"/>
              <w:jc w:val="center"/>
              <w:rPr>
                <w:rFonts w:ascii="仿宋_GB2312" w:hAnsi="宋体" w:eastAsia="仿宋_GB2312" w:cs="宋体"/>
                <w:kern w:val="0"/>
                <w:szCs w:val="21"/>
              </w:rPr>
            </w:pPr>
            <w:r>
              <w:rPr>
                <w:rFonts w:ascii="仿宋_GB2312" w:hAnsi="宋体" w:eastAsia="仿宋_GB2312" w:cs="宋体"/>
                <w:color w:val="000000"/>
                <w:kern w:val="0"/>
                <w:szCs w:val="21"/>
              </w:rPr>
              <w:t>A</w:t>
            </w:r>
            <w:r>
              <w:rPr>
                <w:rFonts w:ascii="Symbol" w:hAnsi="Symbol" w:cs="宋体"/>
                <w:b/>
                <w:bCs/>
                <w:color w:val="000000"/>
                <w:spacing w:val="-12"/>
                <w:kern w:val="0"/>
                <w:sz w:val="28"/>
                <w:szCs w:val="28"/>
              </w:rPr>
              <w:t></w:t>
            </w:r>
          </w:p>
        </w:tc>
        <w:tc>
          <w:tcPr>
            <w:tcW w:w="1999" w:type="dxa"/>
            <w:vAlign w:val="center"/>
          </w:tcPr>
          <w:p>
            <w:pPr>
              <w:widowControl/>
              <w:spacing w:line="240" w:lineRule="exac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665" w:type="dxa"/>
            <w:vMerge w:val="continue"/>
            <w:vAlign w:val="center"/>
          </w:tcPr>
          <w:p>
            <w:pPr>
              <w:widowControl/>
              <w:spacing w:line="280" w:lineRule="exact"/>
              <w:jc w:val="left"/>
              <w:rPr>
                <w:rFonts w:ascii="仿宋_GB2312" w:hAnsi="宋体" w:eastAsia="仿宋_GB2312" w:cs="宋体"/>
                <w:kern w:val="0"/>
                <w:szCs w:val="21"/>
              </w:rPr>
            </w:pPr>
          </w:p>
        </w:tc>
        <w:tc>
          <w:tcPr>
            <w:tcW w:w="497" w:type="dxa"/>
            <w:vMerge w:val="restart"/>
            <w:tcMar>
              <w:top w:w="0" w:type="dxa"/>
              <w:left w:w="108" w:type="dxa"/>
              <w:bottom w:w="0" w:type="dxa"/>
              <w:right w:w="108" w:type="dxa"/>
            </w:tcMar>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人才流动机制</w:t>
            </w:r>
          </w:p>
        </w:tc>
        <w:tc>
          <w:tcPr>
            <w:tcW w:w="5682" w:type="dxa"/>
            <w:tcMar>
              <w:top w:w="0" w:type="dxa"/>
              <w:left w:w="108" w:type="dxa"/>
              <w:bottom w:w="0" w:type="dxa"/>
              <w:right w:w="108" w:type="dxa"/>
            </w:tcMar>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鼓励学校每年委派1名以上智库核心专家到政府部门和国内、国际相关组织挂职任职。</w:t>
            </w:r>
          </w:p>
        </w:tc>
        <w:tc>
          <w:tcPr>
            <w:tcW w:w="534" w:type="dxa"/>
            <w:tcMar>
              <w:top w:w="0" w:type="dxa"/>
              <w:left w:w="108" w:type="dxa"/>
              <w:bottom w:w="0" w:type="dxa"/>
              <w:right w:w="108" w:type="dxa"/>
            </w:tcMar>
            <w:vAlign w:val="center"/>
          </w:tcPr>
          <w:p>
            <w:pPr>
              <w:widowControl/>
              <w:spacing w:line="280" w:lineRule="exact"/>
              <w:jc w:val="center"/>
              <w:rPr>
                <w:rFonts w:ascii="仿宋_GB2312" w:hAnsi="宋体" w:eastAsia="仿宋_GB2312" w:cs="宋体"/>
                <w:kern w:val="0"/>
                <w:szCs w:val="21"/>
              </w:rPr>
            </w:pPr>
            <w:r>
              <w:rPr>
                <w:rFonts w:ascii="仿宋_GB2312" w:hAnsi="宋体" w:eastAsia="仿宋_GB2312" w:cs="宋体"/>
                <w:kern w:val="0"/>
                <w:szCs w:val="21"/>
              </w:rPr>
              <w:t>B</w:t>
            </w:r>
          </w:p>
        </w:tc>
        <w:tc>
          <w:tcPr>
            <w:tcW w:w="1999" w:type="dxa"/>
            <w:vAlign w:val="center"/>
          </w:tcPr>
          <w:p>
            <w:pPr>
              <w:spacing w:line="240" w:lineRule="exac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665" w:type="dxa"/>
            <w:vMerge w:val="continue"/>
            <w:vAlign w:val="center"/>
          </w:tcPr>
          <w:p>
            <w:pPr>
              <w:widowControl/>
              <w:spacing w:line="280" w:lineRule="exact"/>
              <w:jc w:val="left"/>
              <w:rPr>
                <w:rFonts w:ascii="仿宋_GB2312" w:hAnsi="宋体" w:eastAsia="仿宋_GB2312" w:cs="宋体"/>
                <w:kern w:val="0"/>
                <w:szCs w:val="21"/>
              </w:rPr>
            </w:pPr>
          </w:p>
        </w:tc>
        <w:tc>
          <w:tcPr>
            <w:tcW w:w="497" w:type="dxa"/>
            <w:vMerge w:val="continue"/>
            <w:vAlign w:val="center"/>
          </w:tcPr>
          <w:p>
            <w:pPr>
              <w:widowControl/>
              <w:spacing w:line="240" w:lineRule="exact"/>
              <w:jc w:val="left"/>
              <w:rPr>
                <w:rFonts w:ascii="仿宋_GB2312" w:hAnsi="宋体" w:eastAsia="仿宋_GB2312" w:cs="宋体"/>
                <w:kern w:val="0"/>
                <w:szCs w:val="21"/>
              </w:rPr>
            </w:pPr>
          </w:p>
        </w:tc>
        <w:tc>
          <w:tcPr>
            <w:tcW w:w="5682" w:type="dxa"/>
            <w:tcMar>
              <w:top w:w="0" w:type="dxa"/>
              <w:left w:w="108" w:type="dxa"/>
              <w:bottom w:w="0" w:type="dxa"/>
              <w:right w:w="108" w:type="dxa"/>
            </w:tcMar>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聘请1名以上有较高理论素养的党政、企事业单位领导干部参与高等学校智库研究工作。</w:t>
            </w:r>
          </w:p>
        </w:tc>
        <w:tc>
          <w:tcPr>
            <w:tcW w:w="534" w:type="dxa"/>
            <w:tcMar>
              <w:top w:w="0" w:type="dxa"/>
              <w:left w:w="108" w:type="dxa"/>
              <w:bottom w:w="0" w:type="dxa"/>
              <w:right w:w="108" w:type="dxa"/>
            </w:tcMar>
            <w:vAlign w:val="center"/>
          </w:tcPr>
          <w:p>
            <w:pPr>
              <w:widowControl/>
              <w:spacing w:line="280" w:lineRule="exact"/>
              <w:jc w:val="center"/>
              <w:rPr>
                <w:rFonts w:ascii="仿宋_GB2312" w:hAnsi="宋体" w:eastAsia="仿宋_GB2312" w:cs="宋体"/>
                <w:kern w:val="0"/>
                <w:szCs w:val="21"/>
              </w:rPr>
            </w:pPr>
            <w:r>
              <w:rPr>
                <w:rFonts w:ascii="仿宋_GB2312" w:hAnsi="宋体" w:eastAsia="仿宋_GB2312" w:cs="宋体"/>
                <w:kern w:val="0"/>
                <w:szCs w:val="21"/>
              </w:rPr>
              <w:t>B</w:t>
            </w:r>
          </w:p>
        </w:tc>
        <w:tc>
          <w:tcPr>
            <w:tcW w:w="1999" w:type="dxa"/>
            <w:vAlign w:val="center"/>
          </w:tcPr>
          <w:p>
            <w:pPr>
              <w:widowControl/>
              <w:spacing w:line="240" w:lineRule="exact"/>
              <w:jc w:val="center"/>
              <w:rPr>
                <w:rFonts w:ascii="仿宋_GB2312" w:hAnsi="宋体" w:eastAsia="仿宋_GB2312" w:cs="宋体"/>
                <w:kern w:val="0"/>
                <w:szCs w:val="21"/>
              </w:rPr>
            </w:pPr>
          </w:p>
          <w:p>
            <w:pPr>
              <w:widowControl/>
              <w:spacing w:line="240" w:lineRule="exact"/>
              <w:jc w:val="center"/>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665" w:type="dxa"/>
            <w:vMerge w:val="restart"/>
            <w:tcMar>
              <w:top w:w="0" w:type="dxa"/>
              <w:left w:w="108" w:type="dxa"/>
              <w:bottom w:w="0" w:type="dxa"/>
              <w:right w:w="108" w:type="dxa"/>
            </w:tcMar>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平</w:t>
            </w:r>
          </w:p>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台</w:t>
            </w:r>
          </w:p>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建</w:t>
            </w:r>
          </w:p>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设</w:t>
            </w:r>
          </w:p>
          <w:p>
            <w:pPr>
              <w:spacing w:line="280" w:lineRule="exact"/>
              <w:jc w:val="center"/>
              <w:rPr>
                <w:rFonts w:ascii="仿宋_GB2312" w:hAnsi="宋体" w:eastAsia="仿宋_GB2312" w:cs="宋体"/>
                <w:kern w:val="0"/>
                <w:szCs w:val="21"/>
              </w:rPr>
            </w:pPr>
          </w:p>
        </w:tc>
        <w:tc>
          <w:tcPr>
            <w:tcW w:w="497" w:type="dxa"/>
            <w:tcMar>
              <w:top w:w="0" w:type="dxa"/>
              <w:left w:w="108" w:type="dxa"/>
              <w:bottom w:w="0" w:type="dxa"/>
              <w:right w:w="108" w:type="dxa"/>
            </w:tcMar>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政策咨询</w:t>
            </w:r>
          </w:p>
        </w:tc>
        <w:tc>
          <w:tcPr>
            <w:tcW w:w="5682" w:type="dxa"/>
            <w:tcMar>
              <w:top w:w="0" w:type="dxa"/>
              <w:left w:w="108" w:type="dxa"/>
              <w:bottom w:w="0" w:type="dxa"/>
              <w:right w:w="108" w:type="dxa"/>
            </w:tcMar>
            <w:vAlign w:val="center"/>
          </w:tcPr>
          <w:p>
            <w:pPr>
              <w:widowControl/>
              <w:spacing w:line="600" w:lineRule="exact"/>
              <w:rPr>
                <w:rFonts w:ascii="仿宋_GB2312" w:hAnsi="宋体" w:eastAsia="仿宋_GB2312" w:cs="宋体"/>
                <w:kern w:val="0"/>
                <w:szCs w:val="21"/>
              </w:rPr>
            </w:pPr>
            <w:r>
              <w:rPr>
                <w:rFonts w:hint="eastAsia" w:ascii="仿宋_GB2312" w:hAnsi="宋体" w:eastAsia="仿宋_GB2312" w:cs="宋体"/>
                <w:kern w:val="0"/>
                <w:szCs w:val="21"/>
              </w:rPr>
              <w:t>强化数据库、资料库和网站的建设，鼓励与政府、行业等相关部门共同分享数据资料，提高基于数据分析的研究咨询能力。</w:t>
            </w:r>
          </w:p>
        </w:tc>
        <w:tc>
          <w:tcPr>
            <w:tcW w:w="534" w:type="dxa"/>
            <w:tcMar>
              <w:top w:w="0" w:type="dxa"/>
              <w:left w:w="108" w:type="dxa"/>
              <w:bottom w:w="0" w:type="dxa"/>
              <w:right w:w="108" w:type="dxa"/>
            </w:tcMar>
            <w:vAlign w:val="center"/>
          </w:tcPr>
          <w:p>
            <w:pPr>
              <w:widowControl/>
              <w:spacing w:line="28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A</w:t>
            </w:r>
          </w:p>
          <w:p>
            <w:pPr>
              <w:spacing w:line="280" w:lineRule="exact"/>
              <w:jc w:val="center"/>
              <w:rPr>
                <w:rFonts w:ascii="仿宋_GB2312" w:hAnsi="宋体" w:eastAsia="仿宋_GB2312" w:cs="宋体"/>
                <w:kern w:val="0"/>
                <w:szCs w:val="21"/>
              </w:rPr>
            </w:pPr>
          </w:p>
        </w:tc>
        <w:tc>
          <w:tcPr>
            <w:tcW w:w="1999" w:type="dxa"/>
            <w:vAlign w:val="center"/>
          </w:tcPr>
          <w:p>
            <w:pPr>
              <w:widowControl/>
              <w:spacing w:after="150" w:line="320" w:lineRule="exac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665" w:type="dxa"/>
            <w:vMerge w:val="continue"/>
            <w:vAlign w:val="center"/>
          </w:tcPr>
          <w:p>
            <w:pPr>
              <w:spacing w:line="280" w:lineRule="exact"/>
              <w:jc w:val="center"/>
              <w:rPr>
                <w:rFonts w:ascii="仿宋_GB2312" w:hAnsi="宋体" w:eastAsia="仿宋_GB2312" w:cs="宋体"/>
                <w:kern w:val="0"/>
                <w:szCs w:val="21"/>
              </w:rPr>
            </w:pPr>
          </w:p>
        </w:tc>
        <w:tc>
          <w:tcPr>
            <w:tcW w:w="497" w:type="dxa"/>
            <w:tcMar>
              <w:top w:w="0" w:type="dxa"/>
              <w:left w:w="108" w:type="dxa"/>
              <w:bottom w:w="0" w:type="dxa"/>
              <w:right w:w="108" w:type="dxa"/>
            </w:tcMar>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高端论坛</w:t>
            </w:r>
          </w:p>
        </w:tc>
        <w:tc>
          <w:tcPr>
            <w:tcW w:w="5682" w:type="dxa"/>
            <w:tcMar>
              <w:top w:w="0" w:type="dxa"/>
              <w:left w:w="108" w:type="dxa"/>
              <w:bottom w:w="0" w:type="dxa"/>
              <w:right w:w="108" w:type="dxa"/>
            </w:tcMar>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每年举办1次有影响的高端论坛，帮助研究人员培养政治和问题敏感性，建立与政府部门、媒体和社会等的良好沟通渠道。</w:t>
            </w:r>
          </w:p>
        </w:tc>
        <w:tc>
          <w:tcPr>
            <w:tcW w:w="534" w:type="dxa"/>
            <w:tcMar>
              <w:top w:w="0" w:type="dxa"/>
              <w:left w:w="108" w:type="dxa"/>
              <w:bottom w:w="0" w:type="dxa"/>
              <w:right w:w="108" w:type="dxa"/>
            </w:tcMar>
            <w:vAlign w:val="center"/>
          </w:tcPr>
          <w:p>
            <w:pPr>
              <w:widowControl/>
              <w:spacing w:line="28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A</w:t>
            </w:r>
          </w:p>
          <w:p>
            <w:pPr>
              <w:widowControl/>
              <w:spacing w:line="280" w:lineRule="exact"/>
              <w:jc w:val="center"/>
              <w:rPr>
                <w:rFonts w:ascii="仿宋_GB2312" w:hAnsi="宋体" w:eastAsia="仿宋_GB2312" w:cs="宋体"/>
                <w:kern w:val="0"/>
                <w:szCs w:val="21"/>
              </w:rPr>
            </w:pPr>
          </w:p>
        </w:tc>
        <w:tc>
          <w:tcPr>
            <w:tcW w:w="1999" w:type="dxa"/>
            <w:vAlign w:val="center"/>
          </w:tcPr>
          <w:p>
            <w:pPr>
              <w:widowControl/>
              <w:spacing w:line="240" w:lineRule="exac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665" w:type="dxa"/>
            <w:vMerge w:val="continue"/>
            <w:tcMar>
              <w:top w:w="0" w:type="dxa"/>
              <w:left w:w="108" w:type="dxa"/>
              <w:bottom w:w="0" w:type="dxa"/>
              <w:right w:w="108" w:type="dxa"/>
            </w:tcMar>
            <w:vAlign w:val="center"/>
          </w:tcPr>
          <w:p>
            <w:pPr>
              <w:widowControl/>
              <w:spacing w:line="280" w:lineRule="exact"/>
              <w:jc w:val="center"/>
              <w:rPr>
                <w:rFonts w:ascii="仿宋_GB2312" w:hAnsi="宋体" w:eastAsia="仿宋_GB2312" w:cs="宋体"/>
                <w:kern w:val="0"/>
                <w:szCs w:val="21"/>
              </w:rPr>
            </w:pPr>
          </w:p>
        </w:tc>
        <w:tc>
          <w:tcPr>
            <w:tcW w:w="497" w:type="dxa"/>
            <w:vMerge w:val="restart"/>
            <w:tcMar>
              <w:top w:w="0" w:type="dxa"/>
              <w:left w:w="108" w:type="dxa"/>
              <w:bottom w:w="0" w:type="dxa"/>
              <w:right w:w="108" w:type="dxa"/>
            </w:tcMar>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成果发布</w:t>
            </w:r>
          </w:p>
        </w:tc>
        <w:tc>
          <w:tcPr>
            <w:tcW w:w="5682" w:type="dxa"/>
            <w:tcMar>
              <w:top w:w="0" w:type="dxa"/>
              <w:left w:w="108" w:type="dxa"/>
              <w:bottom w:w="0" w:type="dxa"/>
              <w:right w:w="108" w:type="dxa"/>
            </w:tcMar>
            <w:vAlign w:val="center"/>
          </w:tcPr>
          <w:p>
            <w:pPr>
              <w:widowControl/>
              <w:spacing w:line="600" w:lineRule="exact"/>
              <w:rPr>
                <w:rFonts w:ascii="仿宋_GB2312" w:hAnsi="宋体" w:eastAsia="仿宋_GB2312" w:cs="宋体"/>
                <w:kern w:val="0"/>
                <w:szCs w:val="21"/>
              </w:rPr>
            </w:pPr>
            <w:r>
              <w:rPr>
                <w:rFonts w:hint="eastAsia" w:ascii="仿宋_GB2312" w:hAnsi="宋体" w:eastAsia="仿宋_GB2312" w:cs="宋体"/>
                <w:kern w:val="0"/>
                <w:szCs w:val="21"/>
              </w:rPr>
              <w:t>定期通过论坛、论文、出版物、权威性研究报告、咨询报告等方式来公布成果，并加强对外宣传。</w:t>
            </w:r>
          </w:p>
        </w:tc>
        <w:tc>
          <w:tcPr>
            <w:tcW w:w="534" w:type="dxa"/>
            <w:tcMar>
              <w:top w:w="0" w:type="dxa"/>
              <w:left w:w="108" w:type="dxa"/>
              <w:bottom w:w="0" w:type="dxa"/>
              <w:right w:w="108" w:type="dxa"/>
            </w:tcMar>
            <w:vAlign w:val="center"/>
          </w:tcPr>
          <w:p>
            <w:pPr>
              <w:widowControl/>
              <w:spacing w:line="280" w:lineRule="exact"/>
              <w:jc w:val="center"/>
              <w:rPr>
                <w:rFonts w:ascii="仿宋_GB2312" w:hAnsi="宋体" w:eastAsia="仿宋_GB2312" w:cs="宋体"/>
                <w:kern w:val="0"/>
                <w:szCs w:val="21"/>
              </w:rPr>
            </w:pPr>
            <w:r>
              <w:rPr>
                <w:rFonts w:ascii="仿宋_GB2312" w:hAnsi="宋体" w:eastAsia="仿宋_GB2312" w:cs="宋体"/>
                <w:kern w:val="0"/>
                <w:szCs w:val="21"/>
              </w:rPr>
              <w:t>A</w:t>
            </w:r>
          </w:p>
        </w:tc>
        <w:tc>
          <w:tcPr>
            <w:tcW w:w="1999" w:type="dxa"/>
            <w:vAlign w:val="center"/>
          </w:tcPr>
          <w:p>
            <w:pPr>
              <w:widowControl/>
              <w:spacing w:line="240" w:lineRule="exac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665" w:type="dxa"/>
            <w:vMerge w:val="continue"/>
            <w:tcMar>
              <w:top w:w="0" w:type="dxa"/>
              <w:left w:w="108" w:type="dxa"/>
              <w:bottom w:w="0" w:type="dxa"/>
              <w:right w:w="108" w:type="dxa"/>
            </w:tcMar>
            <w:vAlign w:val="center"/>
          </w:tcPr>
          <w:p>
            <w:pPr>
              <w:widowControl/>
              <w:spacing w:line="280" w:lineRule="exact"/>
              <w:jc w:val="center"/>
              <w:rPr>
                <w:rFonts w:ascii="仿宋_GB2312" w:hAnsi="宋体" w:eastAsia="仿宋_GB2312" w:cs="宋体"/>
                <w:kern w:val="0"/>
                <w:szCs w:val="21"/>
              </w:rPr>
            </w:pPr>
          </w:p>
        </w:tc>
        <w:tc>
          <w:tcPr>
            <w:tcW w:w="497" w:type="dxa"/>
            <w:vMerge w:val="continue"/>
            <w:tcMar>
              <w:top w:w="0" w:type="dxa"/>
              <w:left w:w="108" w:type="dxa"/>
              <w:bottom w:w="0" w:type="dxa"/>
              <w:right w:w="108" w:type="dxa"/>
            </w:tcMar>
            <w:vAlign w:val="center"/>
          </w:tcPr>
          <w:p>
            <w:pPr>
              <w:widowControl/>
              <w:spacing w:line="240" w:lineRule="exact"/>
              <w:jc w:val="left"/>
              <w:rPr>
                <w:rFonts w:ascii="仿宋_GB2312" w:hAnsi="宋体" w:eastAsia="仿宋_GB2312" w:cs="宋体"/>
                <w:kern w:val="0"/>
                <w:szCs w:val="21"/>
              </w:rPr>
            </w:pPr>
          </w:p>
        </w:tc>
        <w:tc>
          <w:tcPr>
            <w:tcW w:w="5682" w:type="dxa"/>
            <w:tcMar>
              <w:top w:w="0" w:type="dxa"/>
              <w:left w:w="108" w:type="dxa"/>
              <w:bottom w:w="0" w:type="dxa"/>
              <w:right w:w="108" w:type="dxa"/>
            </w:tcMar>
            <w:vAlign w:val="center"/>
          </w:tcPr>
          <w:p>
            <w:pPr>
              <w:widowControl/>
              <w:spacing w:line="600" w:lineRule="exact"/>
              <w:rPr>
                <w:rFonts w:ascii="仿宋_GB2312" w:hAnsi="宋体" w:eastAsia="仿宋_GB2312" w:cs="宋体"/>
                <w:kern w:val="0"/>
                <w:szCs w:val="21"/>
              </w:rPr>
            </w:pPr>
            <w:r>
              <w:rPr>
                <w:rFonts w:hint="eastAsia" w:ascii="仿宋_GB2312" w:hAnsi="宋体" w:eastAsia="仿宋_GB2312" w:cs="宋体"/>
                <w:kern w:val="0"/>
                <w:szCs w:val="21"/>
              </w:rPr>
              <w:t>每年至少向教育和智库建设依托平台主管部门提供3份左右相关领域的咨询报告，且其中相关内容至少1份被省委、政府或相关职能部门予以采纳。</w:t>
            </w:r>
          </w:p>
        </w:tc>
        <w:tc>
          <w:tcPr>
            <w:tcW w:w="534" w:type="dxa"/>
            <w:tcMar>
              <w:top w:w="0" w:type="dxa"/>
              <w:left w:w="108" w:type="dxa"/>
              <w:bottom w:w="0" w:type="dxa"/>
              <w:right w:w="108" w:type="dxa"/>
            </w:tcMar>
            <w:vAlign w:val="center"/>
          </w:tcPr>
          <w:p>
            <w:pPr>
              <w:spacing w:line="280" w:lineRule="exact"/>
              <w:jc w:val="center"/>
              <w:rPr>
                <w:rFonts w:ascii="仿宋_GB2312" w:hAnsi="宋体" w:eastAsia="仿宋_GB2312" w:cs="宋体"/>
                <w:kern w:val="0"/>
                <w:szCs w:val="21"/>
              </w:rPr>
            </w:pPr>
            <w:r>
              <w:rPr>
                <w:rFonts w:ascii="仿宋_GB2312" w:hAnsi="宋体" w:eastAsia="仿宋_GB2312" w:cs="宋体"/>
                <w:color w:val="000000"/>
                <w:kern w:val="0"/>
                <w:szCs w:val="21"/>
              </w:rPr>
              <w:t>A</w:t>
            </w:r>
            <w:r>
              <w:rPr>
                <w:rFonts w:ascii="Symbol" w:hAnsi="Symbol" w:cs="宋体"/>
                <w:b/>
                <w:bCs/>
                <w:color w:val="000000"/>
                <w:spacing w:val="-12"/>
                <w:kern w:val="0"/>
                <w:sz w:val="28"/>
                <w:szCs w:val="28"/>
              </w:rPr>
              <w:t></w:t>
            </w:r>
          </w:p>
        </w:tc>
        <w:tc>
          <w:tcPr>
            <w:tcW w:w="1999" w:type="dxa"/>
            <w:vAlign w:val="center"/>
          </w:tcPr>
          <w:p>
            <w:pPr>
              <w:widowControl/>
              <w:spacing w:line="240" w:lineRule="exac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665" w:type="dxa"/>
            <w:vMerge w:val="restart"/>
            <w:tcMar>
              <w:top w:w="0" w:type="dxa"/>
              <w:left w:w="108" w:type="dxa"/>
              <w:bottom w:w="0" w:type="dxa"/>
              <w:right w:w="108" w:type="dxa"/>
            </w:tcMar>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组</w:t>
            </w:r>
          </w:p>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织</w:t>
            </w:r>
          </w:p>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管</w:t>
            </w:r>
          </w:p>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理</w:t>
            </w:r>
          </w:p>
        </w:tc>
        <w:tc>
          <w:tcPr>
            <w:tcW w:w="497" w:type="dxa"/>
            <w:tcMar>
              <w:top w:w="0" w:type="dxa"/>
              <w:left w:w="108" w:type="dxa"/>
              <w:bottom w:w="0" w:type="dxa"/>
              <w:right w:w="108" w:type="dxa"/>
            </w:tcMar>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协同建设</w:t>
            </w:r>
          </w:p>
        </w:tc>
        <w:tc>
          <w:tcPr>
            <w:tcW w:w="5682" w:type="dxa"/>
            <w:tcMar>
              <w:top w:w="0" w:type="dxa"/>
              <w:left w:w="108" w:type="dxa"/>
              <w:bottom w:w="0" w:type="dxa"/>
              <w:right w:w="108" w:type="dxa"/>
            </w:tcMar>
            <w:vAlign w:val="center"/>
          </w:tcPr>
          <w:p>
            <w:pPr>
              <w:widowControl/>
              <w:spacing w:line="600" w:lineRule="exact"/>
              <w:rPr>
                <w:rFonts w:ascii="仿宋_GB2312" w:hAnsi="宋体" w:eastAsia="仿宋_GB2312" w:cs="宋体"/>
                <w:kern w:val="0"/>
                <w:szCs w:val="21"/>
              </w:rPr>
            </w:pPr>
            <w:r>
              <w:rPr>
                <w:rFonts w:hint="eastAsia" w:ascii="仿宋_GB2312" w:hAnsi="宋体" w:eastAsia="仿宋_GB2312" w:cs="宋体"/>
                <w:kern w:val="0"/>
                <w:szCs w:val="21"/>
              </w:rPr>
              <w:t>主动加强与政府研究机构、社科院、科学院、工程院，以及民间智库等的合作，联合组建研究团队，团队成员中校外成员不小于2人。</w:t>
            </w:r>
          </w:p>
        </w:tc>
        <w:tc>
          <w:tcPr>
            <w:tcW w:w="534" w:type="dxa"/>
            <w:tcMar>
              <w:top w:w="0" w:type="dxa"/>
              <w:left w:w="108" w:type="dxa"/>
              <w:bottom w:w="0" w:type="dxa"/>
              <w:right w:w="108" w:type="dxa"/>
            </w:tcMar>
            <w:vAlign w:val="center"/>
          </w:tcPr>
          <w:p>
            <w:pPr>
              <w:spacing w:line="280" w:lineRule="exact"/>
              <w:jc w:val="center"/>
              <w:rPr>
                <w:rFonts w:ascii="仿宋_GB2312" w:hAnsi="宋体" w:eastAsia="仿宋_GB2312" w:cs="宋体"/>
                <w:kern w:val="0"/>
                <w:szCs w:val="21"/>
              </w:rPr>
            </w:pPr>
            <w:r>
              <w:rPr>
                <w:rFonts w:ascii="仿宋_GB2312" w:hAnsi="宋体" w:eastAsia="仿宋_GB2312" w:cs="宋体"/>
                <w:kern w:val="0"/>
                <w:szCs w:val="21"/>
              </w:rPr>
              <w:t>B</w:t>
            </w:r>
          </w:p>
        </w:tc>
        <w:tc>
          <w:tcPr>
            <w:tcW w:w="1999" w:type="dxa"/>
            <w:vAlign w:val="center"/>
          </w:tcPr>
          <w:p>
            <w:pPr>
              <w:widowControl/>
              <w:spacing w:line="240" w:lineRule="exac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665" w:type="dxa"/>
            <w:vMerge w:val="continue"/>
            <w:vAlign w:val="center"/>
          </w:tcPr>
          <w:p>
            <w:pPr>
              <w:widowControl/>
              <w:spacing w:line="280" w:lineRule="exact"/>
              <w:jc w:val="left"/>
              <w:rPr>
                <w:rFonts w:ascii="仿宋_GB2312" w:hAnsi="宋体" w:eastAsia="仿宋_GB2312" w:cs="宋体"/>
                <w:kern w:val="0"/>
                <w:szCs w:val="21"/>
              </w:rPr>
            </w:pPr>
          </w:p>
        </w:tc>
        <w:tc>
          <w:tcPr>
            <w:tcW w:w="497" w:type="dxa"/>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科研</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评价</w:t>
            </w:r>
          </w:p>
        </w:tc>
        <w:tc>
          <w:tcPr>
            <w:tcW w:w="5682" w:type="dxa"/>
            <w:tcMar>
              <w:top w:w="0" w:type="dxa"/>
              <w:left w:w="108" w:type="dxa"/>
              <w:bottom w:w="0" w:type="dxa"/>
              <w:right w:w="108" w:type="dxa"/>
            </w:tcMar>
            <w:vAlign w:val="center"/>
          </w:tcPr>
          <w:p>
            <w:pPr>
              <w:widowControl/>
              <w:spacing w:line="600" w:lineRule="exact"/>
              <w:rPr>
                <w:rFonts w:ascii="仿宋_GB2312" w:hAnsi="宋体" w:eastAsia="仿宋_GB2312" w:cs="宋体"/>
                <w:kern w:val="0"/>
                <w:szCs w:val="21"/>
              </w:rPr>
            </w:pPr>
            <w:r>
              <w:rPr>
                <w:rFonts w:hint="eastAsia" w:ascii="仿宋_GB2312" w:hAnsi="宋体" w:eastAsia="仿宋_GB2312" w:cs="宋体"/>
                <w:kern w:val="0"/>
                <w:szCs w:val="21"/>
              </w:rPr>
              <w:t>牢固树立质量第一的评价导向，出台以贡献和质量为导向的科研项目绩效评估办法，把解决国家和辽宁重大需求的实际贡献作为核心标准。</w:t>
            </w:r>
          </w:p>
        </w:tc>
        <w:tc>
          <w:tcPr>
            <w:tcW w:w="534" w:type="dxa"/>
            <w:tcMar>
              <w:top w:w="0" w:type="dxa"/>
              <w:left w:w="108" w:type="dxa"/>
              <w:bottom w:w="0" w:type="dxa"/>
              <w:right w:w="108" w:type="dxa"/>
            </w:tcMar>
            <w:vAlign w:val="center"/>
          </w:tcPr>
          <w:p>
            <w:pPr>
              <w:widowControl/>
              <w:spacing w:line="280" w:lineRule="exact"/>
              <w:jc w:val="center"/>
              <w:rPr>
                <w:rFonts w:ascii="仿宋_GB2312" w:hAnsi="宋体" w:eastAsia="仿宋_GB2312" w:cs="宋体"/>
                <w:kern w:val="0"/>
                <w:szCs w:val="21"/>
              </w:rPr>
            </w:pPr>
            <w:r>
              <w:rPr>
                <w:rFonts w:ascii="仿宋_GB2312" w:hAnsi="宋体" w:eastAsia="仿宋_GB2312" w:cs="宋体"/>
                <w:color w:val="000000"/>
                <w:kern w:val="0"/>
                <w:szCs w:val="21"/>
              </w:rPr>
              <w:t>A</w:t>
            </w:r>
            <w:r>
              <w:rPr>
                <w:rFonts w:ascii="Symbol" w:hAnsi="Symbol" w:cs="宋体"/>
                <w:b/>
                <w:bCs/>
                <w:color w:val="000000"/>
                <w:spacing w:val="-12"/>
                <w:kern w:val="0"/>
                <w:sz w:val="28"/>
                <w:szCs w:val="28"/>
              </w:rPr>
              <w:t></w:t>
            </w:r>
          </w:p>
          <w:p>
            <w:pPr>
              <w:widowControl/>
              <w:spacing w:line="280" w:lineRule="exact"/>
              <w:jc w:val="center"/>
              <w:rPr>
                <w:rFonts w:ascii="仿宋_GB2312" w:hAnsi="宋体" w:eastAsia="仿宋_GB2312" w:cs="宋体"/>
                <w:kern w:val="0"/>
                <w:szCs w:val="21"/>
              </w:rPr>
            </w:pPr>
          </w:p>
        </w:tc>
        <w:tc>
          <w:tcPr>
            <w:tcW w:w="1999" w:type="dxa"/>
            <w:vAlign w:val="center"/>
          </w:tcPr>
          <w:p>
            <w:pPr>
              <w:spacing w:line="240" w:lineRule="exact"/>
              <w:rPr>
                <w:rFonts w:ascii="仿宋_GB2312" w:hAnsi="宋体" w:eastAsia="仿宋_GB2312" w:cs="宋体"/>
                <w:kern w:val="0"/>
                <w:szCs w:val="21"/>
              </w:rPr>
            </w:pPr>
          </w:p>
          <w:p>
            <w:pPr>
              <w:spacing w:line="240" w:lineRule="exact"/>
              <w:rPr>
                <w:rFonts w:ascii="仿宋_GB2312" w:hAnsi="宋体" w:eastAsia="仿宋_GB2312" w:cs="宋体"/>
                <w:kern w:val="0"/>
                <w:szCs w:val="21"/>
              </w:rPr>
            </w:pPr>
          </w:p>
          <w:p>
            <w:pPr>
              <w:spacing w:line="240" w:lineRule="exac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665" w:type="dxa"/>
            <w:vMerge w:val="continue"/>
            <w:vAlign w:val="center"/>
          </w:tcPr>
          <w:p>
            <w:pPr>
              <w:widowControl/>
              <w:spacing w:line="280" w:lineRule="exact"/>
              <w:jc w:val="left"/>
              <w:rPr>
                <w:rFonts w:ascii="仿宋_GB2312" w:hAnsi="宋体" w:eastAsia="仿宋_GB2312" w:cs="宋体"/>
                <w:kern w:val="0"/>
                <w:szCs w:val="21"/>
              </w:rPr>
            </w:pPr>
          </w:p>
        </w:tc>
        <w:tc>
          <w:tcPr>
            <w:tcW w:w="497" w:type="dxa"/>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项目评价机制</w:t>
            </w:r>
          </w:p>
        </w:tc>
        <w:tc>
          <w:tcPr>
            <w:tcW w:w="5682" w:type="dxa"/>
            <w:tcMar>
              <w:top w:w="0" w:type="dxa"/>
              <w:left w:w="108" w:type="dxa"/>
              <w:bottom w:w="0" w:type="dxa"/>
              <w:right w:w="108" w:type="dxa"/>
            </w:tcMar>
            <w:vAlign w:val="center"/>
          </w:tcPr>
          <w:p>
            <w:pPr>
              <w:widowControl/>
              <w:spacing w:line="600" w:lineRule="exact"/>
              <w:rPr>
                <w:rFonts w:ascii="仿宋_GB2312" w:hAnsi="宋体" w:eastAsia="仿宋_GB2312" w:cs="宋体"/>
                <w:kern w:val="0"/>
                <w:szCs w:val="21"/>
              </w:rPr>
            </w:pPr>
            <w:r>
              <w:rPr>
                <w:rFonts w:hint="eastAsia" w:ascii="仿宋_GB2312" w:hAnsi="宋体" w:eastAsia="仿宋_GB2312" w:cs="宋体"/>
                <w:kern w:val="0"/>
                <w:szCs w:val="21"/>
              </w:rPr>
              <w:t>努力建立以政府、企业、社会等用户为主的第三方评价机制，实现内涵发展。</w:t>
            </w:r>
          </w:p>
        </w:tc>
        <w:tc>
          <w:tcPr>
            <w:tcW w:w="534" w:type="dxa"/>
            <w:tcMar>
              <w:top w:w="0" w:type="dxa"/>
              <w:left w:w="108" w:type="dxa"/>
              <w:bottom w:w="0" w:type="dxa"/>
              <w:right w:w="108" w:type="dxa"/>
            </w:tcMar>
            <w:vAlign w:val="center"/>
          </w:tcPr>
          <w:p>
            <w:pPr>
              <w:widowControl/>
              <w:spacing w:line="280" w:lineRule="exact"/>
              <w:jc w:val="center"/>
              <w:rPr>
                <w:rFonts w:ascii="仿宋_GB2312" w:hAnsi="宋体" w:eastAsia="仿宋_GB2312" w:cs="宋体"/>
                <w:kern w:val="0"/>
                <w:szCs w:val="21"/>
              </w:rPr>
            </w:pPr>
            <w:r>
              <w:rPr>
                <w:rFonts w:ascii="仿宋_GB2312" w:hAnsi="宋体" w:eastAsia="仿宋_GB2312" w:cs="宋体"/>
                <w:kern w:val="0"/>
                <w:szCs w:val="21"/>
              </w:rPr>
              <w:t>B</w:t>
            </w:r>
          </w:p>
        </w:tc>
        <w:tc>
          <w:tcPr>
            <w:tcW w:w="1999" w:type="dxa"/>
            <w:vAlign w:val="center"/>
          </w:tcPr>
          <w:p>
            <w:pPr>
              <w:spacing w:line="240" w:lineRule="exac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665" w:type="dxa"/>
            <w:vMerge w:val="continue"/>
            <w:vAlign w:val="center"/>
          </w:tcPr>
          <w:p>
            <w:pPr>
              <w:widowControl/>
              <w:spacing w:line="280" w:lineRule="exact"/>
              <w:jc w:val="left"/>
              <w:rPr>
                <w:rFonts w:ascii="仿宋_GB2312" w:hAnsi="宋体" w:eastAsia="仿宋_GB2312" w:cs="宋体"/>
                <w:kern w:val="0"/>
                <w:szCs w:val="21"/>
              </w:rPr>
            </w:pPr>
          </w:p>
        </w:tc>
        <w:tc>
          <w:tcPr>
            <w:tcW w:w="497" w:type="dxa"/>
            <w:shd w:val="clear" w:color="auto" w:fill="auto"/>
            <w:tcMar>
              <w:top w:w="0" w:type="dxa"/>
              <w:left w:w="108" w:type="dxa"/>
              <w:bottom w:w="0" w:type="dxa"/>
              <w:right w:w="108" w:type="dxa"/>
            </w:tcMar>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成果转化</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机制</w:t>
            </w:r>
          </w:p>
        </w:tc>
        <w:tc>
          <w:tcPr>
            <w:tcW w:w="5682" w:type="dxa"/>
            <w:tcMar>
              <w:top w:w="0" w:type="dxa"/>
              <w:left w:w="108" w:type="dxa"/>
              <w:bottom w:w="0" w:type="dxa"/>
              <w:right w:w="108" w:type="dxa"/>
            </w:tcMar>
            <w:vAlign w:val="center"/>
          </w:tcPr>
          <w:p>
            <w:pPr>
              <w:widowControl/>
              <w:spacing w:line="600" w:lineRule="exact"/>
              <w:rPr>
                <w:rFonts w:ascii="仿宋_GB2312" w:hAnsi="宋体" w:eastAsia="仿宋_GB2312" w:cs="宋体"/>
                <w:kern w:val="0"/>
                <w:szCs w:val="21"/>
              </w:rPr>
            </w:pPr>
            <w:r>
              <w:rPr>
                <w:rFonts w:hint="eastAsia" w:ascii="仿宋_GB2312" w:hAnsi="宋体" w:eastAsia="仿宋_GB2312" w:cs="宋体"/>
                <w:kern w:val="0"/>
                <w:szCs w:val="21"/>
              </w:rPr>
              <w:t>积极探索建立人文社会科学研究成果转化机制，有效服务党和政府决策。</w:t>
            </w:r>
          </w:p>
        </w:tc>
        <w:tc>
          <w:tcPr>
            <w:tcW w:w="534" w:type="dxa"/>
            <w:tcMar>
              <w:top w:w="0" w:type="dxa"/>
              <w:left w:w="108" w:type="dxa"/>
              <w:bottom w:w="0" w:type="dxa"/>
              <w:right w:w="108" w:type="dxa"/>
            </w:tcMar>
            <w:vAlign w:val="center"/>
          </w:tcPr>
          <w:p>
            <w:pPr>
              <w:widowControl/>
              <w:spacing w:line="28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w:t>
            </w:r>
          </w:p>
          <w:p>
            <w:pPr>
              <w:widowControl/>
              <w:spacing w:line="280" w:lineRule="exact"/>
              <w:jc w:val="center"/>
              <w:rPr>
                <w:rFonts w:ascii="仿宋_GB2312" w:hAnsi="宋体" w:eastAsia="仿宋_GB2312" w:cs="宋体"/>
                <w:kern w:val="0"/>
                <w:szCs w:val="21"/>
              </w:rPr>
            </w:pPr>
            <w:r>
              <w:rPr>
                <w:rFonts w:ascii="仿宋_GB2312" w:hAnsi="宋体" w:eastAsia="仿宋_GB2312" w:cs="宋体"/>
                <w:kern w:val="0"/>
                <w:szCs w:val="21"/>
              </w:rPr>
              <w:t>B</w:t>
            </w:r>
          </w:p>
        </w:tc>
        <w:tc>
          <w:tcPr>
            <w:tcW w:w="1999" w:type="dxa"/>
            <w:vAlign w:val="center"/>
          </w:tcPr>
          <w:p>
            <w:pPr>
              <w:spacing w:line="240" w:lineRule="exac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665" w:type="dxa"/>
            <w:vMerge w:val="restart"/>
            <w:tcMar>
              <w:top w:w="0" w:type="dxa"/>
              <w:left w:w="108" w:type="dxa"/>
              <w:bottom w:w="0" w:type="dxa"/>
              <w:right w:w="108" w:type="dxa"/>
            </w:tcMar>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特色</w:t>
            </w:r>
          </w:p>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w:t>
            </w:r>
          </w:p>
        </w:tc>
        <w:tc>
          <w:tcPr>
            <w:tcW w:w="497" w:type="dxa"/>
            <w:tcMar>
              <w:top w:w="0" w:type="dxa"/>
              <w:left w:w="108" w:type="dxa"/>
              <w:bottom w:w="0" w:type="dxa"/>
              <w:right w:w="108" w:type="dxa"/>
            </w:tcMar>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智库特色项目</w:t>
            </w:r>
          </w:p>
        </w:tc>
        <w:tc>
          <w:tcPr>
            <w:tcW w:w="5682" w:type="dxa"/>
            <w:tcMar>
              <w:top w:w="0" w:type="dxa"/>
              <w:left w:w="108" w:type="dxa"/>
              <w:bottom w:w="0" w:type="dxa"/>
              <w:right w:w="108" w:type="dxa"/>
            </w:tcMar>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开展智库建设改革与创新，并取得显著成果，其经验在全国或全省得到一定推广。</w:t>
            </w:r>
          </w:p>
        </w:tc>
        <w:tc>
          <w:tcPr>
            <w:tcW w:w="534" w:type="dxa"/>
            <w:tcMar>
              <w:top w:w="0" w:type="dxa"/>
              <w:left w:w="108" w:type="dxa"/>
              <w:bottom w:w="0" w:type="dxa"/>
              <w:right w:w="108" w:type="dxa"/>
            </w:tcMar>
            <w:vAlign w:val="center"/>
          </w:tcPr>
          <w:p>
            <w:pPr>
              <w:widowControl/>
              <w:spacing w:line="280" w:lineRule="exact"/>
              <w:jc w:val="center"/>
              <w:rPr>
                <w:rFonts w:ascii="仿宋_GB2312" w:hAnsi="宋体" w:eastAsia="仿宋_GB2312" w:cs="宋体"/>
                <w:kern w:val="0"/>
                <w:szCs w:val="21"/>
              </w:rPr>
            </w:pPr>
            <w:r>
              <w:rPr>
                <w:rFonts w:ascii="仿宋_GB2312" w:hAnsi="宋体" w:eastAsia="仿宋_GB2312" w:cs="宋体"/>
                <w:kern w:val="0"/>
                <w:szCs w:val="21"/>
              </w:rPr>
              <w:t>B</w:t>
            </w:r>
          </w:p>
        </w:tc>
        <w:tc>
          <w:tcPr>
            <w:tcW w:w="1999" w:type="dxa"/>
            <w:vAlign w:val="center"/>
          </w:tcPr>
          <w:p>
            <w:pPr>
              <w:spacing w:line="240" w:lineRule="exac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trPr>
        <w:tc>
          <w:tcPr>
            <w:tcW w:w="665" w:type="dxa"/>
            <w:vMerge w:val="continue"/>
            <w:vAlign w:val="center"/>
          </w:tcPr>
          <w:p>
            <w:pPr>
              <w:widowControl/>
              <w:spacing w:line="280" w:lineRule="exact"/>
              <w:jc w:val="left"/>
              <w:rPr>
                <w:rFonts w:ascii="仿宋_GB2312" w:hAnsi="宋体" w:eastAsia="仿宋_GB2312" w:cs="宋体"/>
                <w:kern w:val="0"/>
                <w:szCs w:val="21"/>
              </w:rPr>
            </w:pPr>
          </w:p>
        </w:tc>
        <w:tc>
          <w:tcPr>
            <w:tcW w:w="497" w:type="dxa"/>
            <w:tcMar>
              <w:top w:w="0" w:type="dxa"/>
              <w:left w:w="108" w:type="dxa"/>
              <w:bottom w:w="0" w:type="dxa"/>
              <w:right w:w="108" w:type="dxa"/>
            </w:tcMar>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其他</w:t>
            </w:r>
          </w:p>
        </w:tc>
        <w:tc>
          <w:tcPr>
            <w:tcW w:w="5682" w:type="dxa"/>
            <w:tcMar>
              <w:top w:w="0" w:type="dxa"/>
              <w:left w:w="108" w:type="dxa"/>
              <w:bottom w:w="0" w:type="dxa"/>
              <w:right w:w="108" w:type="dxa"/>
            </w:tcMar>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能够推动智库建设工作的其他有特色的项目。</w:t>
            </w:r>
          </w:p>
        </w:tc>
        <w:tc>
          <w:tcPr>
            <w:tcW w:w="534" w:type="dxa"/>
            <w:tcMar>
              <w:top w:w="0" w:type="dxa"/>
              <w:left w:w="108" w:type="dxa"/>
              <w:bottom w:w="0" w:type="dxa"/>
              <w:right w:w="108" w:type="dxa"/>
            </w:tcMar>
            <w:vAlign w:val="center"/>
          </w:tcPr>
          <w:p>
            <w:pPr>
              <w:widowControl/>
              <w:spacing w:line="280" w:lineRule="exact"/>
              <w:jc w:val="center"/>
              <w:rPr>
                <w:rFonts w:ascii="仿宋_GB2312" w:hAnsi="宋体" w:eastAsia="仿宋_GB2312" w:cs="宋体"/>
                <w:kern w:val="0"/>
                <w:szCs w:val="21"/>
              </w:rPr>
            </w:pPr>
            <w:r>
              <w:rPr>
                <w:rFonts w:ascii="仿宋_GB2312" w:hAnsi="宋体" w:eastAsia="仿宋_GB2312" w:cs="宋体"/>
                <w:kern w:val="0"/>
                <w:szCs w:val="21"/>
              </w:rPr>
              <w:t>B</w:t>
            </w:r>
          </w:p>
        </w:tc>
        <w:tc>
          <w:tcPr>
            <w:tcW w:w="1999" w:type="dxa"/>
            <w:vAlign w:val="center"/>
          </w:tcPr>
          <w:p>
            <w:pPr>
              <w:widowControl/>
              <w:spacing w:line="240" w:lineRule="exact"/>
              <w:rPr>
                <w:rFonts w:ascii="仿宋_GB2312" w:hAnsi="宋体" w:eastAsia="仿宋_GB2312" w:cs="宋体"/>
                <w:kern w:val="0"/>
                <w:szCs w:val="21"/>
              </w:rPr>
            </w:pPr>
          </w:p>
        </w:tc>
      </w:tr>
    </w:tbl>
    <w:p>
      <w:pPr>
        <w:spacing w:line="560" w:lineRule="exact"/>
        <w:rPr>
          <w:rFonts w:ascii="仿宋" w:hAnsi="仿宋" w:eastAsia="仿宋"/>
          <w:color w:val="000000"/>
          <w:spacing w:val="-6"/>
          <w:sz w:val="32"/>
          <w:szCs w:val="32"/>
        </w:rPr>
      </w:pPr>
      <w:bookmarkStart w:id="0" w:name="kbUnit"/>
      <w:bookmarkEnd w:id="0"/>
    </w:p>
    <w:p/>
    <w:sectPr>
      <w:headerReference r:id="rId5" w:type="first"/>
      <w:footerReference r:id="rId8" w:type="first"/>
      <w:headerReference r:id="rId3" w:type="default"/>
      <w:footerReference r:id="rId6" w:type="default"/>
      <w:headerReference r:id="rId4" w:type="even"/>
      <w:footerReference r:id="rId7" w:type="even"/>
      <w:pgSz w:w="11906" w:h="16838"/>
      <w:pgMar w:top="2098" w:right="1588" w:bottom="2098" w:left="1588" w:header="851" w:footer="153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firstLine="270" w:firstLineChars="150"/>
      <w:jc w:val="right"/>
      <w:rPr>
        <w:rFonts w:cs="Calibri"/>
      </w:rPr>
    </w:pPr>
    <w:r>
      <w:rPr>
        <w:rFonts w:cs="Calibri"/>
      </w:rPr>
      <w:fldChar w:fldCharType="begin"/>
    </w:r>
    <w:r>
      <w:rPr>
        <w:rFonts w:cs="Calibri"/>
      </w:rPr>
      <w:instrText xml:space="preserve">PAGE   \* MERGEFORMAT</w:instrText>
    </w:r>
    <w:r>
      <w:rPr>
        <w:rFonts w:cs="Calibri"/>
      </w:rPr>
      <w:fldChar w:fldCharType="separate"/>
    </w:r>
    <w:r>
      <w:rPr>
        <w:rFonts w:cs="Calibri"/>
        <w:lang w:val="zh-CN"/>
      </w:rPr>
      <w:t>-</w:t>
    </w:r>
    <w:r>
      <w:rPr>
        <w:rFonts w:cs="Calibri"/>
      </w:rPr>
      <w:t xml:space="preserve"> 1 -</w:t>
    </w:r>
    <w:r>
      <w:rPr>
        <w:rFonts w:cs="Calibri"/>
      </w:rPr>
      <w:fldChar w:fldCharType="end"/>
    </w:r>
    <w:r>
      <w:rPr>
        <w:rFonts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firstLineChars="100"/>
      <w:rPr>
        <w:rFonts w:cs="Calibri"/>
      </w:rPr>
    </w:pPr>
    <w:r>
      <w:rPr>
        <w:rFonts w:cs="Calibri"/>
      </w:rPr>
      <w:fldChar w:fldCharType="begin"/>
    </w:r>
    <w:r>
      <w:rPr>
        <w:rFonts w:cs="Calibri"/>
      </w:rPr>
      <w:instrText xml:space="preserve">PAGE   \* MERGEFORMAT</w:instrText>
    </w:r>
    <w:r>
      <w:rPr>
        <w:rFonts w:cs="Calibri"/>
      </w:rPr>
      <w:fldChar w:fldCharType="separate"/>
    </w:r>
    <w:r>
      <w:rPr>
        <w:rFonts w:cs="Calibri"/>
        <w:lang w:val="zh-CN"/>
      </w:rPr>
      <w:t>-</w:t>
    </w:r>
    <w:r>
      <w:rPr>
        <w:rFonts w:cs="Calibri"/>
      </w:rPr>
      <w:t xml:space="preserve"> 8 -</w:t>
    </w:r>
    <w:r>
      <w:rPr>
        <w:rFonts w:cs="Calibr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PAGE   \* MERGEFORMAT </w:instrText>
    </w:r>
    <w:r>
      <w:fldChar w:fldCharType="separate"/>
    </w:r>
    <w:r>
      <w:rPr>
        <w:lang w:val="zh-CN"/>
      </w:rPr>
      <w:t>-</w:t>
    </w:r>
    <w:r>
      <w:t xml:space="preserve"> 0 -</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9F2"/>
    <w:rsid w:val="00014CEA"/>
    <w:rsid w:val="000176F2"/>
    <w:rsid w:val="00022F40"/>
    <w:rsid w:val="00027203"/>
    <w:rsid w:val="000314DB"/>
    <w:rsid w:val="00035FBF"/>
    <w:rsid w:val="00036091"/>
    <w:rsid w:val="000473C3"/>
    <w:rsid w:val="00047EFD"/>
    <w:rsid w:val="00062F65"/>
    <w:rsid w:val="00064828"/>
    <w:rsid w:val="00071F28"/>
    <w:rsid w:val="00074299"/>
    <w:rsid w:val="00074593"/>
    <w:rsid w:val="00077DDD"/>
    <w:rsid w:val="00090D9B"/>
    <w:rsid w:val="000938CF"/>
    <w:rsid w:val="000957AD"/>
    <w:rsid w:val="00096DA2"/>
    <w:rsid w:val="000A2B5E"/>
    <w:rsid w:val="000A3C7E"/>
    <w:rsid w:val="000A7F7C"/>
    <w:rsid w:val="000B7201"/>
    <w:rsid w:val="000C2BE6"/>
    <w:rsid w:val="000C60B7"/>
    <w:rsid w:val="000D4B8B"/>
    <w:rsid w:val="000D64D5"/>
    <w:rsid w:val="000E7142"/>
    <w:rsid w:val="000E74D5"/>
    <w:rsid w:val="000E74DC"/>
    <w:rsid w:val="000F074A"/>
    <w:rsid w:val="001005B9"/>
    <w:rsid w:val="00112448"/>
    <w:rsid w:val="0011265D"/>
    <w:rsid w:val="00117863"/>
    <w:rsid w:val="001352FE"/>
    <w:rsid w:val="00137546"/>
    <w:rsid w:val="001436AD"/>
    <w:rsid w:val="0014533E"/>
    <w:rsid w:val="00146661"/>
    <w:rsid w:val="00147F3D"/>
    <w:rsid w:val="0016126E"/>
    <w:rsid w:val="00163158"/>
    <w:rsid w:val="00181E1A"/>
    <w:rsid w:val="001825E5"/>
    <w:rsid w:val="00186413"/>
    <w:rsid w:val="001948A4"/>
    <w:rsid w:val="001A309C"/>
    <w:rsid w:val="001A4422"/>
    <w:rsid w:val="001B3725"/>
    <w:rsid w:val="001C0FA8"/>
    <w:rsid w:val="001C2D4A"/>
    <w:rsid w:val="001C5026"/>
    <w:rsid w:val="001D6B27"/>
    <w:rsid w:val="001F2E59"/>
    <w:rsid w:val="001F37B5"/>
    <w:rsid w:val="001F3D5A"/>
    <w:rsid w:val="001F6801"/>
    <w:rsid w:val="00205984"/>
    <w:rsid w:val="00207702"/>
    <w:rsid w:val="00212AA9"/>
    <w:rsid w:val="002302B2"/>
    <w:rsid w:val="00234C5E"/>
    <w:rsid w:val="00254401"/>
    <w:rsid w:val="00255C64"/>
    <w:rsid w:val="00257E91"/>
    <w:rsid w:val="00264F52"/>
    <w:rsid w:val="0026623F"/>
    <w:rsid w:val="00274F88"/>
    <w:rsid w:val="00281496"/>
    <w:rsid w:val="00287841"/>
    <w:rsid w:val="00293333"/>
    <w:rsid w:val="00297AA6"/>
    <w:rsid w:val="002A160B"/>
    <w:rsid w:val="002D027D"/>
    <w:rsid w:val="002D2DF2"/>
    <w:rsid w:val="002D3CBD"/>
    <w:rsid w:val="002D5E9D"/>
    <w:rsid w:val="002F29A3"/>
    <w:rsid w:val="002F4A46"/>
    <w:rsid w:val="002F4E56"/>
    <w:rsid w:val="00302321"/>
    <w:rsid w:val="003062E2"/>
    <w:rsid w:val="003101EB"/>
    <w:rsid w:val="003248B2"/>
    <w:rsid w:val="0033576F"/>
    <w:rsid w:val="00342371"/>
    <w:rsid w:val="00355E97"/>
    <w:rsid w:val="00360C9B"/>
    <w:rsid w:val="003711AA"/>
    <w:rsid w:val="00386171"/>
    <w:rsid w:val="003917DA"/>
    <w:rsid w:val="00392981"/>
    <w:rsid w:val="00393B79"/>
    <w:rsid w:val="003957D2"/>
    <w:rsid w:val="003960A6"/>
    <w:rsid w:val="003A332B"/>
    <w:rsid w:val="003A4BED"/>
    <w:rsid w:val="003B0D93"/>
    <w:rsid w:val="003B2022"/>
    <w:rsid w:val="003B7E7B"/>
    <w:rsid w:val="003D0A85"/>
    <w:rsid w:val="003D5F34"/>
    <w:rsid w:val="003D63B1"/>
    <w:rsid w:val="003E1A64"/>
    <w:rsid w:val="003E7BB0"/>
    <w:rsid w:val="003F35F6"/>
    <w:rsid w:val="003F6CDE"/>
    <w:rsid w:val="00400DEF"/>
    <w:rsid w:val="0040399A"/>
    <w:rsid w:val="0041614B"/>
    <w:rsid w:val="00424910"/>
    <w:rsid w:val="00430ED9"/>
    <w:rsid w:val="00433C59"/>
    <w:rsid w:val="00434902"/>
    <w:rsid w:val="00437BC9"/>
    <w:rsid w:val="00442197"/>
    <w:rsid w:val="0044417C"/>
    <w:rsid w:val="00451D93"/>
    <w:rsid w:val="004613F2"/>
    <w:rsid w:val="00464014"/>
    <w:rsid w:val="004758A8"/>
    <w:rsid w:val="00483080"/>
    <w:rsid w:val="004A49CA"/>
    <w:rsid w:val="004A594F"/>
    <w:rsid w:val="004C481F"/>
    <w:rsid w:val="004D340A"/>
    <w:rsid w:val="00503D89"/>
    <w:rsid w:val="0050779D"/>
    <w:rsid w:val="0051183E"/>
    <w:rsid w:val="00517E65"/>
    <w:rsid w:val="00520B9F"/>
    <w:rsid w:val="005265B9"/>
    <w:rsid w:val="0053119B"/>
    <w:rsid w:val="0053521C"/>
    <w:rsid w:val="00543074"/>
    <w:rsid w:val="005468DF"/>
    <w:rsid w:val="00546B55"/>
    <w:rsid w:val="00550DFA"/>
    <w:rsid w:val="00561D58"/>
    <w:rsid w:val="00561FCE"/>
    <w:rsid w:val="00573F59"/>
    <w:rsid w:val="005922D7"/>
    <w:rsid w:val="00594A75"/>
    <w:rsid w:val="0059576C"/>
    <w:rsid w:val="005A1C24"/>
    <w:rsid w:val="005A39FA"/>
    <w:rsid w:val="005B130A"/>
    <w:rsid w:val="005B40A3"/>
    <w:rsid w:val="005B6B97"/>
    <w:rsid w:val="005C4127"/>
    <w:rsid w:val="005C5182"/>
    <w:rsid w:val="005C6CA1"/>
    <w:rsid w:val="005D2599"/>
    <w:rsid w:val="005D446F"/>
    <w:rsid w:val="005D499E"/>
    <w:rsid w:val="005E11DE"/>
    <w:rsid w:val="005E3735"/>
    <w:rsid w:val="005E3F59"/>
    <w:rsid w:val="005F08DA"/>
    <w:rsid w:val="005F0E74"/>
    <w:rsid w:val="00600A21"/>
    <w:rsid w:val="006051A7"/>
    <w:rsid w:val="0060617F"/>
    <w:rsid w:val="00607BAF"/>
    <w:rsid w:val="0061459B"/>
    <w:rsid w:val="00617824"/>
    <w:rsid w:val="00621606"/>
    <w:rsid w:val="00621EC6"/>
    <w:rsid w:val="00625694"/>
    <w:rsid w:val="00626DF0"/>
    <w:rsid w:val="00627CD9"/>
    <w:rsid w:val="00630D77"/>
    <w:rsid w:val="00633EA4"/>
    <w:rsid w:val="00652FEA"/>
    <w:rsid w:val="00656904"/>
    <w:rsid w:val="0065778D"/>
    <w:rsid w:val="00660A53"/>
    <w:rsid w:val="0066533F"/>
    <w:rsid w:val="006705A0"/>
    <w:rsid w:val="0067170E"/>
    <w:rsid w:val="00671C54"/>
    <w:rsid w:val="00680B45"/>
    <w:rsid w:val="00686904"/>
    <w:rsid w:val="00686C76"/>
    <w:rsid w:val="0068783A"/>
    <w:rsid w:val="0069015C"/>
    <w:rsid w:val="006A35EF"/>
    <w:rsid w:val="006A6FD0"/>
    <w:rsid w:val="006B3903"/>
    <w:rsid w:val="006B3D4B"/>
    <w:rsid w:val="006B7A01"/>
    <w:rsid w:val="006B7FA7"/>
    <w:rsid w:val="006C3C12"/>
    <w:rsid w:val="006C52CB"/>
    <w:rsid w:val="006C6C1A"/>
    <w:rsid w:val="006D4B54"/>
    <w:rsid w:val="006D4EAF"/>
    <w:rsid w:val="006D75F4"/>
    <w:rsid w:val="006F3F50"/>
    <w:rsid w:val="00701B7E"/>
    <w:rsid w:val="00706BF2"/>
    <w:rsid w:val="0071327A"/>
    <w:rsid w:val="007150C7"/>
    <w:rsid w:val="007315A8"/>
    <w:rsid w:val="007571E4"/>
    <w:rsid w:val="00761392"/>
    <w:rsid w:val="00775E6E"/>
    <w:rsid w:val="0078194B"/>
    <w:rsid w:val="00782FAC"/>
    <w:rsid w:val="007862FC"/>
    <w:rsid w:val="00786D18"/>
    <w:rsid w:val="007870F8"/>
    <w:rsid w:val="00791336"/>
    <w:rsid w:val="007A3706"/>
    <w:rsid w:val="007B4890"/>
    <w:rsid w:val="007C0707"/>
    <w:rsid w:val="007D0846"/>
    <w:rsid w:val="007D12FF"/>
    <w:rsid w:val="007D3180"/>
    <w:rsid w:val="007E7357"/>
    <w:rsid w:val="007F0122"/>
    <w:rsid w:val="0080085E"/>
    <w:rsid w:val="00802FC2"/>
    <w:rsid w:val="008030C4"/>
    <w:rsid w:val="00803A34"/>
    <w:rsid w:val="00811D1F"/>
    <w:rsid w:val="0081271B"/>
    <w:rsid w:val="0081763C"/>
    <w:rsid w:val="00826EF9"/>
    <w:rsid w:val="00827875"/>
    <w:rsid w:val="00831DC4"/>
    <w:rsid w:val="0084109D"/>
    <w:rsid w:val="00846A49"/>
    <w:rsid w:val="00853D90"/>
    <w:rsid w:val="00855BA9"/>
    <w:rsid w:val="00862AF3"/>
    <w:rsid w:val="008861BB"/>
    <w:rsid w:val="0088671E"/>
    <w:rsid w:val="008907B4"/>
    <w:rsid w:val="00895F27"/>
    <w:rsid w:val="008A3118"/>
    <w:rsid w:val="008C6F56"/>
    <w:rsid w:val="008D10BF"/>
    <w:rsid w:val="009032E7"/>
    <w:rsid w:val="0090601E"/>
    <w:rsid w:val="00906492"/>
    <w:rsid w:val="00913E81"/>
    <w:rsid w:val="00915FC2"/>
    <w:rsid w:val="0091643A"/>
    <w:rsid w:val="00921377"/>
    <w:rsid w:val="00936323"/>
    <w:rsid w:val="00957D50"/>
    <w:rsid w:val="00961D03"/>
    <w:rsid w:val="00971D9F"/>
    <w:rsid w:val="00972837"/>
    <w:rsid w:val="00977645"/>
    <w:rsid w:val="00997BE1"/>
    <w:rsid w:val="009A004E"/>
    <w:rsid w:val="009E1325"/>
    <w:rsid w:val="009E1AB9"/>
    <w:rsid w:val="009E2147"/>
    <w:rsid w:val="009E35F1"/>
    <w:rsid w:val="009E515B"/>
    <w:rsid w:val="009F3E28"/>
    <w:rsid w:val="00A04B41"/>
    <w:rsid w:val="00A05471"/>
    <w:rsid w:val="00A22CF8"/>
    <w:rsid w:val="00A24E62"/>
    <w:rsid w:val="00A302C2"/>
    <w:rsid w:val="00A30F97"/>
    <w:rsid w:val="00A34EB0"/>
    <w:rsid w:val="00A36E6E"/>
    <w:rsid w:val="00A445AA"/>
    <w:rsid w:val="00A46C70"/>
    <w:rsid w:val="00A54D7A"/>
    <w:rsid w:val="00A62955"/>
    <w:rsid w:val="00A63BAD"/>
    <w:rsid w:val="00A77E85"/>
    <w:rsid w:val="00A80351"/>
    <w:rsid w:val="00A822A3"/>
    <w:rsid w:val="00A95CA9"/>
    <w:rsid w:val="00AA25C9"/>
    <w:rsid w:val="00AA25DE"/>
    <w:rsid w:val="00AA59FB"/>
    <w:rsid w:val="00AB0036"/>
    <w:rsid w:val="00AB10EF"/>
    <w:rsid w:val="00AE2640"/>
    <w:rsid w:val="00AE5BD4"/>
    <w:rsid w:val="00AF0A1B"/>
    <w:rsid w:val="00AF4447"/>
    <w:rsid w:val="00B04377"/>
    <w:rsid w:val="00B1614E"/>
    <w:rsid w:val="00B1737A"/>
    <w:rsid w:val="00B334D5"/>
    <w:rsid w:val="00B41EE5"/>
    <w:rsid w:val="00B44F42"/>
    <w:rsid w:val="00B5249F"/>
    <w:rsid w:val="00B55C17"/>
    <w:rsid w:val="00B6022D"/>
    <w:rsid w:val="00B6553B"/>
    <w:rsid w:val="00B74D1C"/>
    <w:rsid w:val="00B80172"/>
    <w:rsid w:val="00B823D5"/>
    <w:rsid w:val="00B94895"/>
    <w:rsid w:val="00B956AE"/>
    <w:rsid w:val="00B96C48"/>
    <w:rsid w:val="00BA316E"/>
    <w:rsid w:val="00BA5685"/>
    <w:rsid w:val="00BA66E8"/>
    <w:rsid w:val="00BB697E"/>
    <w:rsid w:val="00BB6A94"/>
    <w:rsid w:val="00BC6339"/>
    <w:rsid w:val="00BD2AAD"/>
    <w:rsid w:val="00BD4424"/>
    <w:rsid w:val="00BD5334"/>
    <w:rsid w:val="00BD5A63"/>
    <w:rsid w:val="00BE083B"/>
    <w:rsid w:val="00BF7354"/>
    <w:rsid w:val="00C00918"/>
    <w:rsid w:val="00C02484"/>
    <w:rsid w:val="00C06816"/>
    <w:rsid w:val="00C12487"/>
    <w:rsid w:val="00C13DAF"/>
    <w:rsid w:val="00C140C4"/>
    <w:rsid w:val="00C177B1"/>
    <w:rsid w:val="00C179B7"/>
    <w:rsid w:val="00C244D7"/>
    <w:rsid w:val="00C25312"/>
    <w:rsid w:val="00C323DA"/>
    <w:rsid w:val="00C4012F"/>
    <w:rsid w:val="00C50FFF"/>
    <w:rsid w:val="00C51C7F"/>
    <w:rsid w:val="00C5799E"/>
    <w:rsid w:val="00C62753"/>
    <w:rsid w:val="00C63653"/>
    <w:rsid w:val="00C661D9"/>
    <w:rsid w:val="00C7120A"/>
    <w:rsid w:val="00C8065B"/>
    <w:rsid w:val="00C86785"/>
    <w:rsid w:val="00CA41BA"/>
    <w:rsid w:val="00CA69F2"/>
    <w:rsid w:val="00CA6FD0"/>
    <w:rsid w:val="00CA774E"/>
    <w:rsid w:val="00CB0963"/>
    <w:rsid w:val="00CC441C"/>
    <w:rsid w:val="00CE30D4"/>
    <w:rsid w:val="00CE4D84"/>
    <w:rsid w:val="00CF0ABF"/>
    <w:rsid w:val="00CF3A01"/>
    <w:rsid w:val="00D26F50"/>
    <w:rsid w:val="00D34DCA"/>
    <w:rsid w:val="00D377EF"/>
    <w:rsid w:val="00D448F8"/>
    <w:rsid w:val="00D56273"/>
    <w:rsid w:val="00D77AA5"/>
    <w:rsid w:val="00D91573"/>
    <w:rsid w:val="00D91718"/>
    <w:rsid w:val="00D95AAD"/>
    <w:rsid w:val="00D97476"/>
    <w:rsid w:val="00DA0A03"/>
    <w:rsid w:val="00DA6FEF"/>
    <w:rsid w:val="00DA73E3"/>
    <w:rsid w:val="00DB4434"/>
    <w:rsid w:val="00DD1E7A"/>
    <w:rsid w:val="00DD1F94"/>
    <w:rsid w:val="00DD4B6A"/>
    <w:rsid w:val="00DF23E8"/>
    <w:rsid w:val="00E12ED2"/>
    <w:rsid w:val="00E300BD"/>
    <w:rsid w:val="00E36F74"/>
    <w:rsid w:val="00E43B50"/>
    <w:rsid w:val="00E50729"/>
    <w:rsid w:val="00E52305"/>
    <w:rsid w:val="00E566C7"/>
    <w:rsid w:val="00E64253"/>
    <w:rsid w:val="00E67AD2"/>
    <w:rsid w:val="00E711E3"/>
    <w:rsid w:val="00E7216E"/>
    <w:rsid w:val="00E75EB2"/>
    <w:rsid w:val="00E770A3"/>
    <w:rsid w:val="00EA30E0"/>
    <w:rsid w:val="00EB4E63"/>
    <w:rsid w:val="00EC62F9"/>
    <w:rsid w:val="00ED0343"/>
    <w:rsid w:val="00ED1FD1"/>
    <w:rsid w:val="00EE3C74"/>
    <w:rsid w:val="00EE65A4"/>
    <w:rsid w:val="00EF2657"/>
    <w:rsid w:val="00F00A36"/>
    <w:rsid w:val="00F01B2C"/>
    <w:rsid w:val="00F05902"/>
    <w:rsid w:val="00F13FF9"/>
    <w:rsid w:val="00F15DB2"/>
    <w:rsid w:val="00F50063"/>
    <w:rsid w:val="00F508A8"/>
    <w:rsid w:val="00F51975"/>
    <w:rsid w:val="00F5495D"/>
    <w:rsid w:val="00F55C00"/>
    <w:rsid w:val="00F56A89"/>
    <w:rsid w:val="00F756C8"/>
    <w:rsid w:val="00F83B63"/>
    <w:rsid w:val="00F86989"/>
    <w:rsid w:val="00F9011A"/>
    <w:rsid w:val="00F95309"/>
    <w:rsid w:val="00F966FF"/>
    <w:rsid w:val="00FB1E69"/>
    <w:rsid w:val="00FB4ED8"/>
    <w:rsid w:val="00FC528F"/>
    <w:rsid w:val="00FD5811"/>
    <w:rsid w:val="00FF2FF2"/>
    <w:rsid w:val="00FF457B"/>
    <w:rsid w:val="00FF59B5"/>
    <w:rsid w:val="274F1674"/>
    <w:rsid w:val="47783FDA"/>
    <w:rsid w:val="54E8525E"/>
    <w:rsid w:val="7E3B1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6"/>
    <w:semiHidden/>
    <w:unhideWhenUsed/>
    <w:uiPriority w:val="99"/>
    <w:rPr>
      <w:rFonts w:asciiTheme="minorHAnsi" w:hAnsiTheme="minorHAnsi" w:eastAsiaTheme="minorEastAsia" w:cstheme="minorBidi"/>
      <w:sz w:val="18"/>
      <w:szCs w:val="18"/>
    </w:rPr>
  </w:style>
  <w:style w:type="paragraph" w:styleId="3">
    <w:name w:val="footer"/>
    <w:basedOn w:val="1"/>
    <w:link w:val="7"/>
    <w:unhideWhenUsed/>
    <w:uiPriority w:val="99"/>
    <w:pPr>
      <w:tabs>
        <w:tab w:val="center" w:pos="4153"/>
        <w:tab w:val="right" w:pos="8306"/>
      </w:tabs>
      <w:snapToGrid w:val="0"/>
      <w:jc w:val="left"/>
    </w:pPr>
    <w:rPr>
      <w:kern w:val="0"/>
      <w:sz w:val="18"/>
      <w:szCs w:val="18"/>
      <w:lang w:val="zh-CN" w:eastAsia="zh-CN"/>
    </w:rPr>
  </w:style>
  <w:style w:type="character" w:customStyle="1" w:styleId="6">
    <w:name w:val="批注框文本 Char"/>
    <w:basedOn w:val="4"/>
    <w:link w:val="2"/>
    <w:semiHidden/>
    <w:uiPriority w:val="99"/>
    <w:rPr>
      <w:sz w:val="18"/>
      <w:szCs w:val="18"/>
    </w:rPr>
  </w:style>
  <w:style w:type="character" w:customStyle="1" w:styleId="7">
    <w:name w:val="页脚 Char"/>
    <w:basedOn w:val="4"/>
    <w:link w:val="3"/>
    <w:uiPriority w:val="99"/>
    <w:rPr>
      <w:rFonts w:ascii="Calibri" w:hAnsi="Calibri" w:eastAsia="宋体" w:cs="Times New Roman"/>
      <w:kern w:val="0"/>
      <w:sz w:val="18"/>
      <w:szCs w:val="18"/>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666</Words>
  <Characters>3802</Characters>
  <Lines>31</Lines>
  <Paragraphs>8</Paragraphs>
  <TotalTime>11</TotalTime>
  <ScaleCrop>false</ScaleCrop>
  <LinksUpToDate>false</LinksUpToDate>
  <CharactersWithSpaces>4460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2018-09-28T02:11:00Z</dcterms:created>
  <dc:creator>马莹</dc:creator>
  <cp:lastModifiedBy>Administrator</cp:lastModifiedBy>
  <dcterms:modified xsi:type="dcterms:W3CDTF">2018-09-28T06:48:50Z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