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附件1</w:t>
      </w:r>
    </w:p>
    <w:p>
      <w:pPr>
        <w:spacing w:line="560" w:lineRule="exact"/>
        <w:jc w:val="center"/>
        <w:rPr>
          <w:rFonts w:ascii="黑体" w:eastAsia="黑体"/>
          <w:sz w:val="28"/>
          <w:szCs w:val="28"/>
        </w:rPr>
      </w:pPr>
      <w:r>
        <w:rPr>
          <w:rFonts w:hint="eastAsia"/>
          <w:b/>
          <w:sz w:val="28"/>
          <w:szCs w:val="28"/>
        </w:rPr>
        <w:t>辽宁省地方标准项目建议书</w:t>
      </w:r>
    </w:p>
    <w:tbl>
      <w:tblPr>
        <w:tblStyle w:val="2"/>
        <w:tblW w:w="92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1195"/>
        <w:gridCol w:w="1501"/>
        <w:gridCol w:w="1559"/>
        <w:gridCol w:w="61"/>
        <w:gridCol w:w="2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220" w:type="dxa"/>
            <w:gridSpan w:val="5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制定或修订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>制定□修订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被修订</w:t>
            </w:r>
          </w:p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标准号</w:t>
            </w:r>
          </w:p>
        </w:tc>
        <w:tc>
          <w:tcPr>
            <w:tcW w:w="2904" w:type="dxa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行业分类</w:t>
            </w:r>
          </w:p>
        </w:tc>
        <w:tc>
          <w:tcPr>
            <w:tcW w:w="2696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spacing w:line="5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>工业□农业□服务业</w:t>
            </w:r>
          </w:p>
          <w:p>
            <w:pPr>
              <w:spacing w:line="560" w:lineRule="exact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□社会管理和公共服务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强制或推荐</w:t>
            </w:r>
          </w:p>
        </w:tc>
        <w:tc>
          <w:tcPr>
            <w:tcW w:w="2904" w:type="dxa"/>
            <w:tcBorders>
              <w:top w:val="nil"/>
              <w:bottom w:val="nil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□强制□推荐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标准类别</w:t>
            </w:r>
          </w:p>
        </w:tc>
        <w:tc>
          <w:tcPr>
            <w:tcW w:w="7220" w:type="dxa"/>
            <w:gridSpan w:val="5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□物流□节能□环保□旅游□装备制造□信息工程□消费品</w:t>
            </w:r>
          </w:p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军民融合</w:t>
            </w:r>
            <w:r>
              <w:rPr>
                <w:rFonts w:hint="eastAsia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起草单位</w:t>
            </w:r>
          </w:p>
        </w:tc>
        <w:tc>
          <w:tcPr>
            <w:tcW w:w="722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大连工业大学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起草单位联系人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04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计划起始年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完成年限</w:t>
            </w:r>
          </w:p>
        </w:tc>
        <w:tc>
          <w:tcPr>
            <w:tcW w:w="2904" w:type="dxa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适用范围和</w:t>
            </w:r>
          </w:p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主要技术内容</w:t>
            </w:r>
          </w:p>
        </w:tc>
        <w:tc>
          <w:tcPr>
            <w:tcW w:w="7220" w:type="dxa"/>
            <w:gridSpan w:val="5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必要性和可行性，要解决的主要问题等</w:t>
            </w:r>
          </w:p>
        </w:tc>
        <w:tc>
          <w:tcPr>
            <w:tcW w:w="7220" w:type="dxa"/>
            <w:gridSpan w:val="5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协调性和一致性情况</w:t>
            </w:r>
          </w:p>
        </w:tc>
        <w:tc>
          <w:tcPr>
            <w:tcW w:w="7220" w:type="dxa"/>
            <w:gridSpan w:val="5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预期作用和效益</w:t>
            </w:r>
          </w:p>
        </w:tc>
        <w:tc>
          <w:tcPr>
            <w:tcW w:w="7220" w:type="dxa"/>
            <w:gridSpan w:val="5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2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修订项目需说明拟修订的主要内容（作为强制性的需说明理由）</w:t>
            </w:r>
          </w:p>
        </w:tc>
        <w:tc>
          <w:tcPr>
            <w:tcW w:w="7220" w:type="dxa"/>
            <w:gridSpan w:val="5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220" w:type="dxa"/>
            <w:gridSpan w:val="5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32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主要起草单位意见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省级对口标委员会</w:t>
            </w:r>
            <w:r>
              <w:rPr>
                <w:rFonts w:hint="eastAsia"/>
                <w:sz w:val="24"/>
                <w:szCs w:val="24"/>
              </w:rPr>
              <w:t>意见</w:t>
            </w:r>
          </w:p>
          <w:p>
            <w:pPr>
              <w:spacing w:line="56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（无对口标委会暂不填写）</w:t>
            </w:r>
          </w:p>
        </w:tc>
        <w:tc>
          <w:tcPr>
            <w:tcW w:w="29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提出和</w:t>
            </w:r>
            <w:r>
              <w:rPr>
                <w:rFonts w:hint="eastAsia"/>
                <w:sz w:val="24"/>
                <w:szCs w:val="24"/>
              </w:rPr>
              <w:t>归口管理部门意见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3" w:hRule="atLeast"/>
          <w:jc w:val="center"/>
        </w:trPr>
        <w:tc>
          <w:tcPr>
            <w:tcW w:w="3265" w:type="dxa"/>
            <w:gridSpan w:val="2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同意。</w:t>
            </w:r>
          </w:p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（印章）</w:t>
            </w:r>
          </w:p>
          <w:p>
            <w:pPr>
              <w:spacing w:line="560" w:lineRule="exact"/>
              <w:rPr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  <w:p>
            <w:pPr>
              <w:spacing w:line="560" w:lineRule="exact"/>
              <w:rPr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（印章）</w:t>
            </w:r>
          </w:p>
          <w:p>
            <w:pPr>
              <w:spacing w:line="560" w:lineRule="exact"/>
              <w:rPr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  <w:tc>
          <w:tcPr>
            <w:tcW w:w="2965" w:type="dxa"/>
            <w:gridSpan w:val="2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  <w:p>
            <w:pPr>
              <w:spacing w:line="560" w:lineRule="exact"/>
              <w:rPr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（印章）</w:t>
            </w:r>
          </w:p>
          <w:p>
            <w:pPr>
              <w:spacing w:line="560" w:lineRule="exact"/>
              <w:rPr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</w:tbl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注: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修订项目完成时限原则上不超过12个月，制定项目完成时限不超过18个月。</w:t>
      </w:r>
    </w:p>
    <w:p>
      <w:r>
        <w:rPr>
          <w:rFonts w:hint="eastAsia" w:ascii="宋体" w:hAnsi="宋体"/>
          <w:sz w:val="24"/>
          <w:szCs w:val="24"/>
          <w:lang w:eastAsia="zh-CN"/>
        </w:rPr>
        <w:t>有省级对口标准化技术委员会的，必须签署意见。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C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2019-04-01T01:10:48Z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