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0" w:firstLineChars="0"/>
      </w:pPr>
      <w:r>
        <w:rPr>
          <w:rFonts w:hint="eastAsia"/>
        </w:rPr>
        <w:t>附件 3</w:t>
      </w:r>
    </w:p>
    <w:p>
      <w:pPr>
        <w:ind w:firstLine="0" w:firstLineChars="0"/>
        <w:jc w:val="center"/>
        <w:rPr>
          <w:rFonts w:ascii="方正小标宋简体" w:eastAsia="方正小标宋简体"/>
          <w:sz w:val="44"/>
          <w:szCs w:val="44"/>
        </w:rPr>
      </w:pPr>
      <w:r>
        <w:rPr>
          <w:rFonts w:hint="eastAsia" w:ascii="方正小标宋简体" w:eastAsia="方正小标宋简体"/>
          <w:sz w:val="44"/>
          <w:szCs w:val="44"/>
        </w:rPr>
        <w:t>大连工业大学实验室生物安全</w:t>
      </w:r>
    </w:p>
    <w:p>
      <w:pPr>
        <w:ind w:firstLine="0" w:firstLineChars="0"/>
        <w:jc w:val="center"/>
        <w:rPr>
          <w:rFonts w:ascii="方正小标宋简体" w:eastAsia="方正小标宋简体"/>
          <w:sz w:val="44"/>
          <w:szCs w:val="44"/>
        </w:rPr>
      </w:pPr>
      <w:r>
        <w:rPr>
          <w:rFonts w:hint="eastAsia" w:ascii="方正小标宋简体" w:eastAsia="方正小标宋简体"/>
          <w:sz w:val="44"/>
          <w:szCs w:val="44"/>
        </w:rPr>
        <w:t>突发事件应急处置预案</w:t>
      </w:r>
    </w:p>
    <w:p>
      <w:pPr>
        <w:ind w:firstLine="640"/>
      </w:pPr>
      <w:r>
        <w:t xml:space="preserve"> </w:t>
      </w:r>
    </w:p>
    <w:p>
      <w:pPr>
        <w:ind w:firstLine="640"/>
      </w:pPr>
      <w:r>
        <w:rPr>
          <w:rFonts w:hint="eastAsia"/>
        </w:rPr>
        <w:t>1.实验室生物安全突发事件应急处置流程</w:t>
      </w:r>
    </w:p>
    <w:p>
      <w:pPr>
        <w:ind w:firstLine="640"/>
      </w:pPr>
      <w:r>
        <w:rPr>
          <w:rFonts w:hint="eastAsia"/>
        </w:rPr>
        <w:t>实验室发生生物安全突发事件当事人应按照以下流程进行处置：</w:t>
      </w:r>
    </w:p>
    <w:p>
      <w:pPr>
        <w:ind w:firstLine="640"/>
      </w:pPr>
      <w:r>
        <w:rPr>
          <w:rFonts w:hint="eastAsia"/>
        </w:rPr>
        <w:t>1.1 当事人在确保自身安全情况下，应在第一时间选择科学处置方式规范处置，处置方式包括但不限于：采取必要消毒措施、封闭污染区域等。</w:t>
      </w:r>
    </w:p>
    <w:p>
      <w:pPr>
        <w:ind w:firstLine="640"/>
      </w:pPr>
      <w:r>
        <w:rPr>
          <w:rFonts w:hint="eastAsia"/>
        </w:rPr>
        <w:t>1.2 突发事件已超出可控范围，当事人应通知周围人员一起迅速撤离至安全区，第一时间向学院办公室、实验室安全负责人报告。报告内容包括：事件发生时间、地点、规模、人员伤亡及事件类型与现场情况；已采取的措施；事故周边危险源名称、数量情况；报告人姓名及联系方式等。特别紧急的情况：如人员受伤等情况可先拨打120急救电话、119火警电话，然后报告办公室、实验室安全主管领导。</w:t>
      </w:r>
    </w:p>
    <w:p>
      <w:pPr>
        <w:ind w:firstLine="640"/>
      </w:pPr>
      <w:r>
        <w:rPr>
          <w:rFonts w:hint="eastAsia"/>
        </w:rPr>
        <w:t>1.3 学院办公室应及时报告保卫处、国有资产管理处等相关部门。国有资产管理处或保卫处根据情况上报突发事件应急处置工作组，根据组长指令迅速启动相应级别的应急预案。</w:t>
      </w:r>
    </w:p>
    <w:p>
      <w:pPr>
        <w:ind w:firstLine="640"/>
      </w:pPr>
      <w:r>
        <w:rPr>
          <w:rFonts w:hint="eastAsia"/>
        </w:rPr>
        <w:t>1.4 突发事件应急处置人员接到通知后，在确保自身安全情况下，配备合适的个人防护器具，迅速赶到现场，按照职责分工开展救援工作。</w:t>
      </w:r>
    </w:p>
    <w:p>
      <w:pPr>
        <w:ind w:firstLine="640"/>
      </w:pPr>
      <w:r>
        <w:rPr>
          <w:rFonts w:hint="eastAsia"/>
        </w:rPr>
        <w:t>2. 实验室生物安全突发事件应急处置措施</w:t>
      </w:r>
    </w:p>
    <w:p>
      <w:pPr>
        <w:ind w:firstLine="640"/>
      </w:pPr>
      <w:r>
        <w:rPr>
          <w:rFonts w:hint="eastAsia"/>
        </w:rPr>
        <w:t>2.1 实验室如果发生一般病原微生物泼溅或泄漏事故，按生物安全的有关要求，根据病原微生物的抵抗力选择敏感的消毒液进行消毒处理。</w:t>
      </w:r>
    </w:p>
    <w:p>
      <w:pPr>
        <w:ind w:firstLine="640"/>
      </w:pPr>
      <w:r>
        <w:rPr>
          <w:rFonts w:hint="eastAsia"/>
        </w:rPr>
        <w:t>2.1.1 菌（毒）外溢在台面、地面和其他表面。处理人员应戴手套，穿防护服，必要时需进行脸和眼睛防护；用吸附棉、布或纸巾覆盖并吸收溢出物；向纸巾上倾倒适当的消毒剂，并立即覆盖周围区域。通常可以使用5%漂白剂溶液（次氯酸钠溶液）；使用消毒剂时，从溢出区域的外围开始，向中心进行处理；作用适当时间后（例如30分钟），将所处理物质清理到生物垃圾专用收纳袋中。如果含有碎玻璃或其他锐器，则要使用簸箕或硬的厚纸板来收集处理过的物品，并将它们置于可防刺透的容器中以待处理；对溢出区域再次清洁并消毒（可多次重复上述吸附和收纳操作）；将污染材料置于防漏、防穿透的废弃物处理容器中。</w:t>
      </w:r>
    </w:p>
    <w:p>
      <w:pPr>
        <w:ind w:firstLine="640"/>
      </w:pPr>
      <w:r>
        <w:rPr>
          <w:rFonts w:hint="eastAsia"/>
        </w:rPr>
        <w:t>2.1.2 菌（毒）外溢在实验室工作人员的衣服、鞋帽上应立即进行局部消毒，更换。污染的防护服立即选用75%的酒精、碘伏、0.2-0.5%的过氧乙酸或500-1000mg/L有效氯消毒液浸泡后进行高压灭菌处理。</w:t>
      </w:r>
    </w:p>
    <w:p>
      <w:pPr>
        <w:ind w:firstLine="640"/>
      </w:pPr>
      <w:r>
        <w:rPr>
          <w:rFonts w:hint="eastAsia"/>
        </w:rPr>
        <w:t>2.1.3 病原微生物泼溅在实验室工作人员皮肤上，立即用75%的酒精或碘伏消毒，然后用清水冲洗。能用消毒液的部位可进行消毒，然后用水冲洗15-20分钟；若皮肤被刺破应被视为有极大危险，应立即停止工作，对伤口进行挤血，用水冲洗消毒。视情况隔离观察，其间根据条件进行适当的预防治疗；如果病原微生物泼溅在实验室工作人员眼内，立即用生理盐水或洗眼液冲洗，然后用清水冲洗。紧急处置同时，联系医院做进一步诊治。</w:t>
      </w:r>
    </w:p>
    <w:p>
      <w:pPr>
        <w:ind w:firstLine="640"/>
      </w:pPr>
      <w:r>
        <w:rPr>
          <w:rFonts w:hint="eastAsia"/>
        </w:rPr>
        <w:t xml:space="preserve">2.2 非封闭离心桶的离心机内盛有潜在感染性物质的离心管发生破裂。这种情况被视为发生气溶胶暴露事故，应立即加强个人防护力度，其处理原则如下：   </w:t>
      </w:r>
    </w:p>
    <w:p>
      <w:pPr>
        <w:ind w:firstLine="640"/>
      </w:pPr>
      <w:r>
        <w:rPr>
          <w:rFonts w:hint="eastAsia"/>
        </w:rPr>
        <w:t>2.2.1 如果机器正在运行时发生破裂或怀疑发生破裂，应关闭机器电源，停止后密闭离心筒≥30分钟，使气溶胶沉积。</w:t>
      </w:r>
    </w:p>
    <w:p>
      <w:pPr>
        <w:ind w:firstLine="640"/>
      </w:pPr>
      <w:r>
        <w:rPr>
          <w:rFonts w:hint="eastAsia"/>
        </w:rPr>
        <w:t>2.2.2 如果机器停止后发现破裂，应立即将盖子盖上，并密闭≥30分钟。随后的所有操作都应加强个人呼吸保护并戴厚橡胶手套，必要时可在外面加戴一次性手套。当清理玻璃碎片时应当使用镊子，或用镊子夹着的棉花来进行。所有破碎的离心管、玻璃碎片、离心桶、十字轴和转子都应放在无腐蚀性的、已知对相关微生物具有杀灭活性的消毒剂内。未破损的带盖离心管应放在另一个有消毒剂的容器中，然后回收。离心机内腔应用适当浓度的同种消毒剂反复擦拭，然后用水冲洗并干燥。清理时所使用的全部材料都应按感染性废弃物处理。</w:t>
      </w:r>
    </w:p>
    <w:p>
      <w:pPr>
        <w:ind w:firstLine="640"/>
      </w:pPr>
      <w:r>
        <w:rPr>
          <w:rFonts w:hint="eastAsia"/>
        </w:rPr>
        <w:t>2.3 如果工作人员通过意外吸入、意外损伤或接触暴露，应立即紧急处理，并及时报告实验室突发生物安全应急领导小组。如工作人员操作过程中被污染的注射器针刺伤、金属锐器损伤，解剖感染力动物时操作不慎被锐器损伤或被动物咬伤或被昆虫叮咬等，应立即实行急救。首先用肥皂和清水冲洗伤口，然后挤伤口的血液，再用消毒液（如75%酒精、2000mg/L次氯酸钠、0.2%-0.5%过氧乙酸、0.5%的碘伏）浸泡或涂抹消毒,并包扎伤口（厌氧微生物感染不包扎伤口）。必要时服用预防药物，如果发生HIV职业暴露时，应在一到两个小时以内服用HIV抗病毒药。紧急救助同时，联系医院做进一步诊治。</w:t>
      </w:r>
    </w:p>
    <w:p>
      <w:pPr>
        <w:ind w:firstLine="640"/>
      </w:pPr>
      <w:r>
        <w:rPr>
          <w:rFonts w:hint="eastAsia"/>
        </w:rPr>
        <w:t>2.4 实验室发生高致病性病原微生物泄漏、污染时，实验室工作人员应及时向实验室突发生物安全应急领导小组报告，在2小时内向卫生主管部门报告，并立即采取以下控制措施，防止高致病性病原微生物扩散。采取以下控制措施：</w:t>
      </w:r>
    </w:p>
    <w:p>
      <w:pPr>
        <w:ind w:firstLine="640"/>
      </w:pPr>
      <w:r>
        <w:rPr>
          <w:rFonts w:hint="eastAsia"/>
        </w:rPr>
        <w:t>1) 封闭被污染的实验室或者可能造成病原微生物扩散的场所；</w:t>
      </w:r>
    </w:p>
    <w:p>
      <w:pPr>
        <w:ind w:firstLine="640"/>
      </w:pPr>
      <w:r>
        <w:rPr>
          <w:rFonts w:hint="eastAsia"/>
        </w:rPr>
        <w:t>2) 进行现场消毒；</w:t>
      </w:r>
    </w:p>
    <w:p>
      <w:pPr>
        <w:ind w:firstLine="640"/>
      </w:pPr>
      <w:r>
        <w:rPr>
          <w:rFonts w:hint="eastAsia"/>
        </w:rPr>
        <w:t>3) 对染疫或者疑似染疫的动物采取隔离、捕杀等措施。</w:t>
      </w:r>
    </w:p>
    <w:p>
      <w:pPr>
        <w:ind w:firstLine="640"/>
      </w:pPr>
      <w:r>
        <w:rPr>
          <w:rFonts w:hint="eastAsia"/>
        </w:rPr>
        <w:t>4) 开展流行病学调查；</w:t>
      </w:r>
    </w:p>
    <w:p>
      <w:pPr>
        <w:ind w:firstLine="640"/>
      </w:pPr>
      <w:r>
        <w:rPr>
          <w:rFonts w:hint="eastAsia"/>
        </w:rPr>
        <w:t>5) 对病人进行隔离观察和治疗，对相关人员进行医学检查；</w:t>
      </w:r>
    </w:p>
    <w:p>
      <w:pPr>
        <w:ind w:firstLine="640"/>
      </w:pPr>
      <w:r>
        <w:rPr>
          <w:rFonts w:hint="eastAsia"/>
        </w:rPr>
        <w:t>6) 对密切接触者进行医学观察；</w:t>
      </w:r>
    </w:p>
    <w:p>
      <w:pPr>
        <w:ind w:firstLine="640"/>
      </w:pPr>
      <w:r>
        <w:rPr>
          <w:rFonts w:hint="eastAsia"/>
        </w:rPr>
        <w:t>7) 其他需要采取的预防、控制措施。</w:t>
      </w:r>
    </w:p>
    <w:p>
      <w:pPr>
        <w:ind w:firstLine="640"/>
      </w:pPr>
      <w:r>
        <w:rPr>
          <w:rFonts w:hint="eastAsia"/>
        </w:rPr>
        <w:t>3. 善后与恢复</w:t>
      </w:r>
    </w:p>
    <w:p>
      <w:pPr>
        <w:ind w:firstLine="640"/>
      </w:pPr>
      <w:r>
        <w:rPr>
          <w:rFonts w:hint="eastAsia"/>
        </w:rPr>
        <w:t>直接应急任务和生命救护活动结束，有关部门应转向善后与恢复行动，及时开展补救工作，积极做好善后工作，争取在最短时间内恢复学校正常秩序。</w:t>
      </w:r>
    </w:p>
    <w:p>
      <w:pPr>
        <w:ind w:firstLine="640"/>
      </w:pPr>
      <w:r>
        <w:rPr>
          <w:rFonts w:hint="eastAsia"/>
        </w:rPr>
        <w:t>3.1 做好事故中受伤人员的医疗、救助工作，对在事故中死亡的人员进行人道主义抚恤和补偿或赔偿，对受害者家属进行慰问，对有各种保险的伤亡人员要帮助联系保险公司赔付。</w:t>
      </w:r>
    </w:p>
    <w:p>
      <w:pPr>
        <w:ind w:firstLine="640"/>
      </w:pPr>
      <w:r>
        <w:rPr>
          <w:rFonts w:hint="eastAsia"/>
        </w:rPr>
        <w:t>3.2 及时查明事故原因，严格信息发布制度，确保信息及时、准确、客观、全面，稳定校园秩序，疏导师生情绪，避免不必要的恐慌和动荡。</w:t>
      </w:r>
    </w:p>
    <w:p>
      <w:pPr>
        <w:ind w:firstLine="640"/>
      </w:pPr>
      <w:r>
        <w:rPr>
          <w:rFonts w:hint="eastAsia"/>
        </w:rPr>
        <w:t>3.3 全面检查设备、设施安全性能，检查安全管理漏洞，对安全隐患及时补救、防范，避免事故再次发生。及时补充事故处理过程中消耗掉的应急物资。</w:t>
      </w:r>
    </w:p>
    <w:p>
      <w:pPr>
        <w:ind w:firstLine="640"/>
      </w:pPr>
      <w:r>
        <w:rPr>
          <w:rFonts w:hint="eastAsia"/>
        </w:rPr>
        <w:t>3.4 总结经验教训。要引以为鉴，总结经验，吸取教训；整理事故报告报国有资产管理处存档。对玩忽职守、渎职等原因而导致事故发生，要追究有关责任人的责任。</w:t>
      </w:r>
    </w:p>
    <w:p>
      <w:pPr>
        <w:ind w:firstLine="640"/>
      </w:pPr>
      <w:r>
        <w:rPr>
          <w:rFonts w:hint="eastAsia"/>
        </w:rPr>
        <w:t>3.5 配合公安、环保、农业或兽医等部门做好事故案件的调查工作。</w:t>
      </w:r>
      <w:bookmarkStart w:id="0" w:name="_GoBack"/>
      <w:bookmarkEnd w:id="0"/>
    </w:p>
    <w:sectPr>
      <w:headerReference r:id="rId7" w:type="first"/>
      <w:footerReference r:id="rId10" w:type="first"/>
      <w:headerReference r:id="rId5" w:type="default"/>
      <w:footerReference r:id="rId8" w:type="default"/>
      <w:headerReference r:id="rId6" w:type="even"/>
      <w:footerReference r:id="rId9" w:type="even"/>
      <w:pgSz w:w="11906" w:h="16838"/>
      <w:pgMar w:top="2098" w:right="1474" w:bottom="1985" w:left="1588" w:header="851" w:footer="992" w:gutter="0"/>
      <w:cols w:space="425" w:num="1"/>
      <w:docGrid w:type="lines" w:linePitch="435"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等线">
    <w:altName w:val="微软雅黑"/>
    <w:panose1 w:val="00000000000000000000"/>
    <w:charset w:val="86"/>
    <w:family w:val="auto"/>
    <w:pitch w:val="default"/>
    <w:sig w:usb0="00000000" w:usb1="00000000" w:usb2="00000000" w:usb3="00000000" w:csb0="00000000" w:csb1="00000000"/>
  </w:font>
  <w:font w:name="等线">
    <w:altName w:val="微软雅黑"/>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3000509000000000000"/>
    <w:charset w:val="86"/>
    <w:family w:val="script"/>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60"/>
  <w:drawingGridVerticalSpacing w:val="435"/>
  <w:displayHorizontalDrawingGridEvery w:val="0"/>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0062"/>
    <w:rsid w:val="0001426F"/>
    <w:rsid w:val="000F666B"/>
    <w:rsid w:val="00122CF8"/>
    <w:rsid w:val="0012308C"/>
    <w:rsid w:val="00144621"/>
    <w:rsid w:val="00167ED7"/>
    <w:rsid w:val="001A5448"/>
    <w:rsid w:val="001E77B1"/>
    <w:rsid w:val="00230DA5"/>
    <w:rsid w:val="00275173"/>
    <w:rsid w:val="00360062"/>
    <w:rsid w:val="004C6EBE"/>
    <w:rsid w:val="00572226"/>
    <w:rsid w:val="006F27D1"/>
    <w:rsid w:val="007C2B12"/>
    <w:rsid w:val="00866009"/>
    <w:rsid w:val="008917F6"/>
    <w:rsid w:val="008E0253"/>
    <w:rsid w:val="008F21EE"/>
    <w:rsid w:val="009376BD"/>
    <w:rsid w:val="00B4349C"/>
    <w:rsid w:val="00B632BF"/>
    <w:rsid w:val="00BE3414"/>
    <w:rsid w:val="00D23AD7"/>
    <w:rsid w:val="00D30DAF"/>
    <w:rsid w:val="00D54AD8"/>
    <w:rsid w:val="00DD640D"/>
    <w:rsid w:val="00E651DF"/>
    <w:rsid w:val="00E65F2F"/>
    <w:rsid w:val="00ED1B51"/>
    <w:rsid w:val="00EF4168"/>
    <w:rsid w:val="00F13BED"/>
    <w:rsid w:val="00F50EEE"/>
    <w:rsid w:val="656A38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line="570" w:lineRule="exact"/>
      <w:ind w:firstLine="200" w:firstLineChars="200"/>
    </w:pPr>
    <w:rPr>
      <w:rFonts w:ascii="Times New Roman" w:hAnsi="Times New Roman" w:eastAsia="仿宋" w:cstheme="minorBidi"/>
      <w:kern w:val="2"/>
      <w:sz w:val="32"/>
      <w:szCs w:val="22"/>
      <w:lang w:val="en-US" w:eastAsia="zh-CN" w:bidi="ar-SA"/>
    </w:rPr>
  </w:style>
  <w:style w:type="paragraph" w:styleId="2">
    <w:name w:val="heading 1"/>
    <w:basedOn w:val="1"/>
    <w:next w:val="1"/>
    <w:link w:val="7"/>
    <w:qFormat/>
    <w:uiPriority w:val="9"/>
    <w:pPr>
      <w:keepNext/>
      <w:keepLines/>
      <w:ind w:firstLine="0" w:firstLineChars="0"/>
      <w:jc w:val="center"/>
      <w:outlineLvl w:val="0"/>
    </w:pPr>
    <w:rPr>
      <w:rFonts w:eastAsia="方正小标宋简体"/>
      <w:bCs/>
      <w:kern w:val="44"/>
      <w:sz w:val="44"/>
      <w:szCs w:val="44"/>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9"/>
    <w:unhideWhenUsed/>
    <w:qFormat/>
    <w:uiPriority w:val="99"/>
    <w:pPr>
      <w:tabs>
        <w:tab w:val="center" w:pos="4153"/>
        <w:tab w:val="right" w:pos="8306"/>
      </w:tabs>
      <w:snapToGrid w:val="0"/>
      <w:spacing w:line="240" w:lineRule="atLeast"/>
    </w:pPr>
    <w:rPr>
      <w:sz w:val="18"/>
      <w:szCs w:val="18"/>
    </w:rPr>
  </w:style>
  <w:style w:type="paragraph" w:styleId="4">
    <w:name w:val="header"/>
    <w:basedOn w:val="1"/>
    <w:link w:val="8"/>
    <w:unhideWhenUsed/>
    <w:uiPriority w:val="99"/>
    <w:pPr>
      <w:pBdr>
        <w:bottom w:val="single" w:color="auto" w:sz="6" w:space="1"/>
      </w:pBdr>
      <w:tabs>
        <w:tab w:val="center" w:pos="4153"/>
        <w:tab w:val="right" w:pos="8306"/>
      </w:tabs>
      <w:snapToGrid w:val="0"/>
      <w:spacing w:line="240" w:lineRule="atLeast"/>
      <w:jc w:val="center"/>
    </w:pPr>
    <w:rPr>
      <w:sz w:val="18"/>
      <w:szCs w:val="18"/>
    </w:rPr>
  </w:style>
  <w:style w:type="character" w:customStyle="1" w:styleId="7">
    <w:name w:val="标题 1 字符"/>
    <w:basedOn w:val="6"/>
    <w:link w:val="2"/>
    <w:uiPriority w:val="9"/>
    <w:rPr>
      <w:rFonts w:ascii="Times New Roman" w:hAnsi="Times New Roman" w:eastAsia="方正小标宋简体"/>
      <w:bCs/>
      <w:kern w:val="44"/>
      <w:sz w:val="44"/>
      <w:szCs w:val="44"/>
    </w:rPr>
  </w:style>
  <w:style w:type="character" w:customStyle="1" w:styleId="8">
    <w:name w:val="页眉 字符"/>
    <w:basedOn w:val="6"/>
    <w:link w:val="4"/>
    <w:qFormat/>
    <w:uiPriority w:val="99"/>
    <w:rPr>
      <w:rFonts w:ascii="Times New Roman" w:hAnsi="Times New Roman" w:eastAsia="仿宋"/>
      <w:sz w:val="18"/>
      <w:szCs w:val="18"/>
    </w:rPr>
  </w:style>
  <w:style w:type="character" w:customStyle="1" w:styleId="9">
    <w:name w:val="页脚 字符"/>
    <w:basedOn w:val="6"/>
    <w:link w:val="3"/>
    <w:qFormat/>
    <w:uiPriority w:val="99"/>
    <w:rPr>
      <w:rFonts w:ascii="Times New Roman" w:hAnsi="Times New Roman" w:eastAsia="仿宋"/>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37</Pages>
  <Words>2514</Words>
  <Characters>14336</Characters>
  <Lines>119</Lines>
  <Paragraphs>33</Paragraphs>
  <TotalTime>3</TotalTime>
  <ScaleCrop>false</ScaleCrop>
  <LinksUpToDate>false</LinksUpToDate>
  <CharactersWithSpaces>16817</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2021-06-02T08:57:00Z</dcterms:created>
  <dc:creator>WHF</dc:creator>
  <cp:lastModifiedBy>Administrator</cp:lastModifiedBy>
  <dcterms:modified xsi:type="dcterms:W3CDTF">2021-06-06T05:06:13Z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BD9333BC07784F11AC88FE134CF4CCE6</vt:lpwstr>
  </property>
</Properties>
</file>